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val="0"/>
        <w:snapToGrid w:val="0"/>
        <w:spacing w:after="0" w:line="240" w:lineRule="auto"/>
        <w:ind w:left="0" w:leftChars="0" w:right="0" w:firstLine="0" w:firstLineChars="0"/>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台前县气象局权利监督清单一览表</w:t>
      </w:r>
    </w:p>
    <w:p>
      <w:pPr>
        <w:widowControl/>
        <w:wordWrap/>
        <w:adjustRightInd w:val="0"/>
        <w:snapToGrid w:val="0"/>
        <w:spacing w:after="0" w:line="240" w:lineRule="auto"/>
        <w:ind w:left="0" w:leftChars="0" w:right="0" w:firstLine="9679" w:firstLineChars="4033"/>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填表时间2015年5月13日</w:t>
      </w:r>
    </w:p>
    <w:tbl>
      <w:tblPr>
        <w:tblStyle w:val="5"/>
        <w:tblpPr w:leftFromText="180" w:rightFromText="180" w:vertAnchor="page" w:horzAnchor="page" w:tblpX="1435" w:tblpY="2184"/>
        <w:tblW w:w="14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05"/>
        <w:gridCol w:w="1245"/>
        <w:gridCol w:w="4213"/>
        <w:gridCol w:w="141"/>
        <w:gridCol w:w="4111"/>
        <w:gridCol w:w="155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67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213"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252" w:type="dxa"/>
            <w:gridSpan w:val="2"/>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9"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1</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行政审批</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防雷装置设计审核和竣工验收</w:t>
            </w:r>
          </w:p>
        </w:tc>
        <w:tc>
          <w:tcPr>
            <w:tcW w:w="4213" w:type="dxa"/>
            <w:vAlign w:val="center"/>
          </w:tcPr>
          <w:p>
            <w:pPr>
              <w:jc w:val="both"/>
              <w:rPr>
                <w:rFonts w:ascii="仿宋" w:hAnsi="仿宋" w:eastAsia="仿宋"/>
                <w:sz w:val="18"/>
                <w:szCs w:val="18"/>
              </w:rPr>
            </w:pPr>
            <w:r>
              <w:rPr>
                <w:rFonts w:hint="eastAsia" w:ascii="仿宋" w:hAnsi="仿宋" w:eastAsia="仿宋"/>
                <w:sz w:val="18"/>
                <w:szCs w:val="18"/>
              </w:rPr>
              <w:t>1、受理阶段责任：公示防雷装置设计审核和竣工验收条件（《防雷装置设计审核和竣工验收规定》第四条等）、需要提交的全部材料目录（《防雷装置设计审核和竣工验收规定》第九条、第十六条）以及其他应当公示的内容，并按申请人的要求进行相关解释说明。及时告知不予受理的决定及理由；一次性告知需要补正的申请材料全部内容。</w:t>
            </w:r>
          </w:p>
          <w:p>
            <w:pPr>
              <w:jc w:val="both"/>
              <w:rPr>
                <w:rFonts w:ascii="仿宋" w:hAnsi="仿宋" w:eastAsia="仿宋"/>
                <w:sz w:val="18"/>
                <w:szCs w:val="18"/>
              </w:rPr>
            </w:pPr>
            <w:r>
              <w:rPr>
                <w:rFonts w:hint="eastAsia" w:ascii="仿宋" w:hAnsi="仿宋" w:eastAsia="仿宋"/>
                <w:sz w:val="18"/>
                <w:szCs w:val="18"/>
              </w:rPr>
              <w:t>2、审查阶段责任：在规定的时间内对申请材料（包括按照规定应提交的《防雷装置设计技术评价报告》、《防雷装置检测报告》、《雷电灾害风险评估报告》）进行预审、提</w:t>
            </w:r>
            <w:bookmarkStart w:id="0" w:name="_GoBack"/>
            <w:bookmarkEnd w:id="0"/>
            <w:r>
              <w:rPr>
                <w:rFonts w:hint="eastAsia" w:ascii="仿宋" w:hAnsi="仿宋" w:eastAsia="仿宋"/>
                <w:sz w:val="18"/>
                <w:szCs w:val="18"/>
              </w:rPr>
              <w:t>出预审意见。</w:t>
            </w:r>
          </w:p>
          <w:p>
            <w:pPr>
              <w:jc w:val="both"/>
              <w:rPr>
                <w:rFonts w:ascii="仿宋" w:hAnsi="仿宋" w:eastAsia="仿宋"/>
                <w:sz w:val="18"/>
                <w:szCs w:val="18"/>
              </w:rPr>
            </w:pPr>
            <w:r>
              <w:rPr>
                <w:rFonts w:hint="eastAsia" w:ascii="仿宋" w:hAnsi="仿宋" w:eastAsia="仿宋"/>
                <w:sz w:val="18"/>
                <w:szCs w:val="18"/>
              </w:rPr>
              <w:t>3、决定阶段责任：作出准予行政许可或者不予行政许可决定，法定告知（不予许可的应当书面告知理由）。</w:t>
            </w:r>
          </w:p>
          <w:p>
            <w:pPr>
              <w:jc w:val="both"/>
              <w:rPr>
                <w:rFonts w:ascii="仿宋" w:hAnsi="仿宋" w:eastAsia="仿宋"/>
                <w:sz w:val="18"/>
                <w:szCs w:val="18"/>
              </w:rPr>
            </w:pPr>
            <w:r>
              <w:rPr>
                <w:rFonts w:hint="eastAsia" w:ascii="仿宋" w:hAnsi="仿宋" w:eastAsia="仿宋"/>
                <w:sz w:val="18"/>
                <w:szCs w:val="18"/>
              </w:rPr>
              <w:t>4、送达阶段责任：准予许可的制作《防雷装置设计核准意见书》或《防雷装置验收意见书》，送达并信息公开。</w:t>
            </w:r>
          </w:p>
          <w:p>
            <w:pPr>
              <w:jc w:val="both"/>
              <w:rPr>
                <w:rFonts w:ascii="仿宋" w:hAnsi="仿宋" w:eastAsia="仿宋"/>
                <w:sz w:val="18"/>
                <w:szCs w:val="18"/>
              </w:rPr>
            </w:pPr>
            <w:r>
              <w:rPr>
                <w:rFonts w:hint="eastAsia" w:ascii="仿宋" w:hAnsi="仿宋" w:eastAsia="仿宋"/>
                <w:sz w:val="18"/>
                <w:szCs w:val="18"/>
              </w:rPr>
              <w:t>5、事后监管责任。开展定期和不定期检查，对隐瞒有关情况、提供虚假材料申请设计审核和竣工验收以及以欺骗、贿赂等不正当手段通过设计审核或者竣工验收的，按照有关规定进行处罚。</w:t>
            </w:r>
          </w:p>
          <w:p>
            <w:pPr>
              <w:jc w:val="both"/>
              <w:rPr>
                <w:rFonts w:ascii="仿宋" w:hAnsi="仿宋" w:eastAsia="仿宋"/>
                <w:sz w:val="18"/>
                <w:szCs w:val="18"/>
              </w:rPr>
            </w:pPr>
            <w:r>
              <w:rPr>
                <w:rFonts w:hint="eastAsia" w:ascii="仿宋" w:hAnsi="仿宋" w:eastAsia="仿宋"/>
                <w:sz w:val="18"/>
                <w:szCs w:val="18"/>
              </w:rPr>
              <w:t>6、其他法律法规规章文件规定应履行的责任。</w:t>
            </w:r>
          </w:p>
        </w:tc>
        <w:tc>
          <w:tcPr>
            <w:tcW w:w="4252" w:type="dxa"/>
            <w:gridSpan w:val="2"/>
            <w:vAlign w:val="center"/>
          </w:tcPr>
          <w:p>
            <w:pPr>
              <w:jc w:val="both"/>
              <w:rPr>
                <w:rFonts w:ascii="仿宋" w:hAnsi="仿宋" w:eastAsia="仿宋"/>
                <w:sz w:val="18"/>
                <w:szCs w:val="18"/>
              </w:rPr>
            </w:pPr>
            <w:r>
              <w:rPr>
                <w:rFonts w:hint="eastAsia" w:ascii="仿宋" w:hAnsi="仿宋" w:eastAsia="仿宋"/>
                <w:sz w:val="18"/>
                <w:szCs w:val="18"/>
              </w:rPr>
              <w:t>1、对符合法定条件的申请不予受理的；</w:t>
            </w:r>
          </w:p>
          <w:p>
            <w:pPr>
              <w:jc w:val="both"/>
              <w:rPr>
                <w:rFonts w:ascii="仿宋" w:hAnsi="仿宋" w:eastAsia="仿宋"/>
                <w:sz w:val="18"/>
                <w:szCs w:val="18"/>
              </w:rPr>
            </w:pPr>
            <w:r>
              <w:rPr>
                <w:rFonts w:hint="eastAsia" w:ascii="仿宋" w:hAnsi="仿宋" w:eastAsia="仿宋"/>
                <w:sz w:val="18"/>
                <w:szCs w:val="18"/>
              </w:rPr>
              <w:t>2、对符合防雷装置设计审核和竣工验收许可条件的申请人不予行政许可或者不在法定期限内作出准予行政许可决定的；</w:t>
            </w:r>
          </w:p>
          <w:p>
            <w:pPr>
              <w:jc w:val="both"/>
              <w:rPr>
                <w:rFonts w:ascii="仿宋" w:hAnsi="仿宋" w:eastAsia="仿宋"/>
                <w:sz w:val="18"/>
                <w:szCs w:val="18"/>
              </w:rPr>
            </w:pPr>
            <w:r>
              <w:rPr>
                <w:rFonts w:hint="eastAsia" w:ascii="仿宋" w:hAnsi="仿宋" w:eastAsia="仿宋"/>
                <w:sz w:val="18"/>
                <w:szCs w:val="18"/>
              </w:rPr>
              <w:t>3、对不符合防雷装置设计审核和竣工验收许可条件的申请人准予行政许可的；</w:t>
            </w:r>
          </w:p>
          <w:p>
            <w:pPr>
              <w:jc w:val="both"/>
              <w:rPr>
                <w:rFonts w:ascii="仿宋" w:hAnsi="仿宋" w:eastAsia="仿宋"/>
                <w:sz w:val="18"/>
                <w:szCs w:val="18"/>
              </w:rPr>
            </w:pPr>
            <w:r>
              <w:rPr>
                <w:rFonts w:hint="eastAsia" w:ascii="仿宋" w:hAnsi="仿宋" w:eastAsia="仿宋"/>
                <w:sz w:val="18"/>
                <w:szCs w:val="18"/>
              </w:rPr>
              <w:t>4、未严格审查防雷装置设计审核和竣工验收许可条件，导致公民人身健康、生命财产安全存在重大安全隐患的；行政许可后续监管不到位，造成严重后果的；</w:t>
            </w:r>
          </w:p>
          <w:p>
            <w:pPr>
              <w:jc w:val="both"/>
              <w:rPr>
                <w:rFonts w:ascii="仿宋" w:hAnsi="仿宋" w:eastAsia="仿宋"/>
                <w:sz w:val="18"/>
                <w:szCs w:val="18"/>
              </w:rPr>
            </w:pPr>
            <w:r>
              <w:rPr>
                <w:rFonts w:hint="eastAsia" w:ascii="仿宋" w:hAnsi="仿宋" w:eastAsia="仿宋"/>
                <w:sz w:val="18"/>
                <w:szCs w:val="18"/>
              </w:rPr>
              <w:t>5、擅自增设、变更防雷装置设计审核和竣工验收的审批程序或审批条件的；</w:t>
            </w:r>
          </w:p>
          <w:p>
            <w:pPr>
              <w:jc w:val="both"/>
              <w:rPr>
                <w:rFonts w:ascii="仿宋" w:hAnsi="仿宋" w:eastAsia="仿宋"/>
                <w:sz w:val="18"/>
                <w:szCs w:val="18"/>
              </w:rPr>
            </w:pPr>
            <w:r>
              <w:rPr>
                <w:rFonts w:hint="eastAsia" w:ascii="仿宋" w:hAnsi="仿宋" w:eastAsia="仿宋"/>
                <w:sz w:val="18"/>
                <w:szCs w:val="18"/>
              </w:rPr>
              <w:t>6、在许可审批过程中违法收取费用的；</w:t>
            </w:r>
          </w:p>
          <w:p>
            <w:pPr>
              <w:jc w:val="both"/>
              <w:rPr>
                <w:rFonts w:ascii="仿宋" w:hAnsi="仿宋" w:eastAsia="仿宋"/>
                <w:sz w:val="18"/>
                <w:szCs w:val="18"/>
              </w:rPr>
            </w:pPr>
            <w:r>
              <w:rPr>
                <w:rFonts w:hint="eastAsia" w:ascii="仿宋" w:hAnsi="仿宋" w:eastAsia="仿宋"/>
                <w:sz w:val="18"/>
                <w:szCs w:val="18"/>
              </w:rPr>
              <w:t>7、在防雷装置设计审核和竣工验收许可过程中滥用职权、徇私舞弊的；</w:t>
            </w:r>
          </w:p>
          <w:p>
            <w:pPr>
              <w:jc w:val="both"/>
              <w:rPr>
                <w:rFonts w:ascii="仿宋" w:hAnsi="仿宋" w:eastAsia="仿宋"/>
                <w:sz w:val="18"/>
                <w:szCs w:val="18"/>
              </w:rPr>
            </w:pPr>
            <w:r>
              <w:rPr>
                <w:rFonts w:hint="eastAsia" w:ascii="仿宋" w:hAnsi="仿宋" w:eastAsia="仿宋"/>
                <w:sz w:val="18"/>
                <w:szCs w:val="18"/>
              </w:rPr>
              <w:t>8、其他违反法律法规规章文件规定的行为。</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1.加强政治理论学习和廉政建设教育，提高拒腐防腐和抵御风险的能力，严格按照《气象法》及行政审批的程序和要求办理相关审批。</w:t>
            </w:r>
          </w:p>
          <w:p>
            <w:pPr>
              <w:jc w:val="both"/>
              <w:rPr>
                <w:rFonts w:ascii="仿宋" w:hAnsi="仿宋" w:eastAsia="仿宋"/>
                <w:sz w:val="18"/>
                <w:szCs w:val="18"/>
              </w:rPr>
            </w:pPr>
            <w:r>
              <w:rPr>
                <w:rFonts w:hint="eastAsia" w:ascii="仿宋" w:hAnsi="仿宋" w:eastAsia="仿宋"/>
                <w:sz w:val="18"/>
                <w:szCs w:val="18"/>
              </w:rPr>
              <w:t>2.通过政府网站，公布审批的条件、程序、内容及步骤，设立咨询投诉平台，严格按照审批的有关规定进行审核，并完善许可公示监督制度。</w:t>
            </w:r>
          </w:p>
          <w:p>
            <w:pPr>
              <w:jc w:val="both"/>
              <w:rPr>
                <w:rFonts w:ascii="仿宋" w:hAnsi="仿宋" w:eastAsia="仿宋"/>
                <w:sz w:val="18"/>
                <w:szCs w:val="18"/>
              </w:rPr>
            </w:pPr>
            <w:r>
              <w:rPr>
                <w:rFonts w:hint="eastAsia" w:ascii="仿宋" w:hAnsi="仿宋" w:eastAsia="仿宋"/>
                <w:sz w:val="18"/>
                <w:szCs w:val="18"/>
              </w:rPr>
              <w:t>3.对审批后进行监督检查，定期开展案卷评查和当事人回访。</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213"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252" w:type="dxa"/>
            <w:gridSpan w:val="2"/>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200" w:line="6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5" w:hRule="atLeast"/>
        </w:trPr>
        <w:tc>
          <w:tcPr>
            <w:tcW w:w="675" w:type="dxa"/>
            <w:vAlign w:val="center"/>
          </w:tcPr>
          <w:p>
            <w:pPr>
              <w:widowControl/>
              <w:wordWrap/>
              <w:adjustRightInd w:val="0"/>
              <w:snapToGrid w:val="0"/>
              <w:spacing w:after="0" w:line="240" w:lineRule="exact"/>
              <w:ind w:left="0" w:leftChars="0" w:right="0" w:firstLine="0" w:firstLineChars="0"/>
              <w:jc w:val="center"/>
              <w:textAlignment w:val="auto"/>
              <w:outlineLvl w:val="9"/>
              <w:rPr>
                <w:rFonts w:ascii="仿宋" w:hAnsi="仿宋" w:eastAsia="仿宋"/>
                <w:sz w:val="18"/>
                <w:szCs w:val="18"/>
              </w:rPr>
            </w:pPr>
            <w:r>
              <w:rPr>
                <w:rFonts w:hint="eastAsia" w:ascii="仿宋" w:hAnsi="仿宋" w:eastAsia="仿宋"/>
                <w:sz w:val="18"/>
                <w:szCs w:val="18"/>
              </w:rPr>
              <w:t>2</w:t>
            </w:r>
          </w:p>
        </w:tc>
        <w:tc>
          <w:tcPr>
            <w:tcW w:w="1205" w:type="dxa"/>
            <w:vAlign w:val="center"/>
          </w:tcPr>
          <w:p>
            <w:pPr>
              <w:widowControl/>
              <w:wordWrap/>
              <w:adjustRightInd w:val="0"/>
              <w:snapToGrid w:val="0"/>
              <w:spacing w:after="0" w:line="240" w:lineRule="exact"/>
              <w:ind w:left="0" w:leftChars="0" w:right="0" w:firstLine="0" w:firstLineChars="0"/>
              <w:jc w:val="center"/>
              <w:textAlignment w:val="auto"/>
              <w:outlineLvl w:val="9"/>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widowControl/>
              <w:wordWrap/>
              <w:adjustRightInd w:val="0"/>
              <w:snapToGrid w:val="0"/>
              <w:spacing w:after="0" w:line="240" w:lineRule="exact"/>
              <w:ind w:left="0" w:leftChars="0" w:right="0" w:firstLine="0" w:firstLineChars="0"/>
              <w:jc w:val="center"/>
              <w:textAlignment w:val="auto"/>
              <w:outlineLvl w:val="9"/>
              <w:rPr>
                <w:rFonts w:ascii="仿宋" w:hAnsi="仿宋" w:eastAsia="仿宋"/>
                <w:sz w:val="18"/>
                <w:szCs w:val="18"/>
              </w:rPr>
            </w:pPr>
          </w:p>
          <w:p>
            <w:pPr>
              <w:widowControl/>
              <w:wordWrap/>
              <w:adjustRightInd w:val="0"/>
              <w:snapToGrid w:val="0"/>
              <w:spacing w:after="0" w:line="240" w:lineRule="exact"/>
              <w:ind w:left="0" w:leftChars="0" w:right="0" w:firstLine="0" w:firstLineChars="0"/>
              <w:jc w:val="center"/>
              <w:textAlignment w:val="auto"/>
              <w:outlineLvl w:val="9"/>
              <w:rPr>
                <w:rFonts w:ascii="仿宋" w:hAnsi="仿宋" w:eastAsia="仿宋"/>
                <w:sz w:val="18"/>
                <w:szCs w:val="18"/>
              </w:rPr>
            </w:pPr>
            <w:r>
              <w:rPr>
                <w:rFonts w:hint="eastAsia" w:ascii="仿宋" w:hAnsi="仿宋" w:eastAsia="仿宋"/>
                <w:sz w:val="18"/>
                <w:szCs w:val="18"/>
              </w:rPr>
              <w:t>对侵占、损毁或者未经批准擅自移动气象设施的处罚</w:t>
            </w:r>
          </w:p>
        </w:tc>
        <w:tc>
          <w:tcPr>
            <w:tcW w:w="4213" w:type="dxa"/>
            <w:vAlign w:val="center"/>
          </w:tcPr>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1、立案阶段责任：气象部门在检查中发现或者接到举报、控告的侵占、损毁或者未经批准擅自移动气象设施；在气象探测环境保护范围内从事危害气象探测环境活动气象违法案件，应予以审查，决定是否立案。</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r>
              <w:rPr>
                <w:rFonts w:hint="eastAsia" w:ascii="仿宋" w:hAnsi="仿宋" w:eastAsia="仿宋"/>
                <w:sz w:val="18"/>
                <w:szCs w:val="18"/>
              </w:rPr>
              <w:t>8、其他法律法规规章文件规定应履行的责任。</w:t>
            </w:r>
          </w:p>
        </w:tc>
        <w:tc>
          <w:tcPr>
            <w:tcW w:w="4252" w:type="dxa"/>
            <w:gridSpan w:val="2"/>
            <w:vAlign w:val="center"/>
          </w:tcPr>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2、没有法律或者事实依据实施行政处罚的；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3、未按法定程序实施行政处罚的；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widowControl/>
              <w:wordWrap/>
              <w:adjustRightInd w:val="0"/>
              <w:snapToGrid w:val="0"/>
              <w:spacing w:after="0" w:line="240" w:lineRule="exact"/>
              <w:ind w:left="0" w:leftChars="0" w:right="0" w:firstLine="0" w:firstLineChars="0"/>
              <w:jc w:val="both"/>
              <w:textAlignment w:val="auto"/>
              <w:outlineLvl w:val="9"/>
              <w:rPr>
                <w:rFonts w:hint="eastAsia" w:ascii="仿宋" w:hAnsi="仿宋" w:eastAsia="仿宋"/>
                <w:sz w:val="18"/>
                <w:szCs w:val="18"/>
              </w:rPr>
            </w:pPr>
            <w:r>
              <w:rPr>
                <w:rFonts w:hint="eastAsia" w:ascii="仿宋" w:hAnsi="仿宋" w:eastAsia="仿宋"/>
                <w:sz w:val="18"/>
                <w:szCs w:val="18"/>
              </w:rPr>
              <w:t>10、在行气象政处罚过程中发生腐败行为的；</w:t>
            </w:r>
          </w:p>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p>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r>
              <w:rPr>
                <w:rFonts w:hint="eastAsia" w:ascii="仿宋" w:hAnsi="仿宋" w:eastAsia="仿宋"/>
                <w:sz w:val="18"/>
                <w:szCs w:val="18"/>
              </w:rPr>
              <w:t>3.定期开展监督检查，评估审批过程的科学合理性。</w:t>
            </w:r>
          </w:p>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widowControl/>
              <w:wordWrap/>
              <w:adjustRightInd w:val="0"/>
              <w:snapToGrid w:val="0"/>
              <w:spacing w:after="0" w:line="240" w:lineRule="exact"/>
              <w:ind w:left="0" w:leftChars="0" w:right="0" w:firstLine="0" w:firstLineChars="0"/>
              <w:jc w:val="both"/>
              <w:textAlignment w:val="auto"/>
              <w:outlineLvl w:val="9"/>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675"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300" w:lineRule="exact"/>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3</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对在气象探测环境保护范围内从事危害气象探测环境活动的处罚</w:t>
            </w:r>
          </w:p>
        </w:tc>
        <w:tc>
          <w:tcPr>
            <w:tcW w:w="4354" w:type="dxa"/>
            <w:gridSpan w:val="2"/>
            <w:vAlign w:val="center"/>
          </w:tcPr>
          <w:p>
            <w:pPr>
              <w:jc w:val="both"/>
              <w:rPr>
                <w:rFonts w:ascii="仿宋" w:hAnsi="仿宋" w:eastAsia="仿宋"/>
                <w:sz w:val="18"/>
                <w:szCs w:val="18"/>
              </w:rPr>
            </w:pPr>
            <w:r>
              <w:rPr>
                <w:rFonts w:hint="eastAsia" w:ascii="仿宋" w:hAnsi="仿宋" w:eastAsia="仿宋"/>
                <w:sz w:val="18"/>
                <w:szCs w:val="18"/>
              </w:rPr>
              <w:t>1、立案阶段责任：气象部门在检查中发现或者接到举报、控告的侵占、损毁或者未经批准擅自移动气象设施；在气象探测环境保护范围内从事危害气象探测环境活动气象违法案件，应予以审查，决定是否立案。</w:t>
            </w:r>
          </w:p>
          <w:p>
            <w:pPr>
              <w:jc w:val="both"/>
              <w:rPr>
                <w:rFonts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ascii="仿宋" w:hAnsi="仿宋" w:eastAsia="仿宋"/>
                <w:sz w:val="18"/>
                <w:szCs w:val="18"/>
              </w:rPr>
            </w:pPr>
            <w:r>
              <w:rPr>
                <w:rFonts w:hint="eastAsia" w:ascii="仿宋" w:hAnsi="仿宋" w:eastAsia="仿宋"/>
                <w:sz w:val="18"/>
                <w:szCs w:val="18"/>
              </w:rPr>
              <w:t>2、没有法律或者事实依据实施行政处罚的；</w:t>
            </w:r>
          </w:p>
          <w:p>
            <w:pPr>
              <w:jc w:val="both"/>
              <w:rPr>
                <w:rFonts w:ascii="仿宋" w:hAnsi="仿宋" w:eastAsia="仿宋"/>
                <w:sz w:val="18"/>
                <w:szCs w:val="18"/>
              </w:rPr>
            </w:pPr>
            <w:r>
              <w:rPr>
                <w:rFonts w:hint="eastAsia" w:ascii="仿宋" w:hAnsi="仿宋" w:eastAsia="仿宋"/>
                <w:sz w:val="18"/>
                <w:szCs w:val="18"/>
              </w:rPr>
              <w:t>3、未按法定程序实施行政处罚的；</w:t>
            </w:r>
          </w:p>
          <w:p>
            <w:pPr>
              <w:jc w:val="both"/>
              <w:rPr>
                <w:rFonts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6"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4</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对安装不符合要求的雷电灾害防护装置的处罚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1、立案阶段责任：气象部门在检查中发现或者接到举报、控告的侵占、损毁或者未经批准擅自移动气象设施；在气象探测环境保护范围内从事危害气象探测环境活动气象违法案件，应予以审查，决定是否立案。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5</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对隐瞒有关情况、提供虚假材料申请防雷工程设计审核或者竣工验收许可的处罚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涂改、伪造防雷装置设计审核和竣工验收有关材料或者文件，以欺骗、贿赂等不正当手段通过设计审核或者竣工验收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6</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对以欺骗、贿赂等不正当手段通过设计审核或者竣工验收的处罚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涂改、伪造防雷装置设计审核和竣工验收有关材料或者文件，以欺骗、贿赂等不正当手段通过设计审核或者竣工验收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7</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对涂改、伪造防雷装置设计审核和竣工验收有关材料或者文件的处罚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涂改、伪造防雷装置设计审核和竣工验收有关材料或者文件，以欺骗、贿赂等不正当手段通过设计审核或者竣工验收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8</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对重大雷电灾害事故隐瞒不报的处罚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1、立案阶段责任：气象部门在检查中发现或者接到举报、控告的侵占、损毁或者未经批准擅自移动气象设施；在气象探测环境保护范围内从事危害气象探测环境活动气象违法案件，应予以审查，决定是否立案。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9</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对不具备防雷检测、防雷工程专业设计或者施工资质，擅自从事防雷检测、防雷工程专业设计或者施工的处罚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1、立案阶段责任：气象部门在检查中发现或者接到举报、控告的无资质或超越资质许可范围从事雷电防护装置设计、施工、检测的处罚气象违法案件，应予以审查，决定是否立案。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w:t>
            </w:r>
          </w:p>
          <w:p>
            <w:pPr>
              <w:jc w:val="both"/>
              <w:rPr>
                <w:rFonts w:hint="eastAsia" w:ascii="仿宋" w:hAnsi="仿宋" w:eastAsia="仿宋"/>
                <w:sz w:val="18"/>
                <w:szCs w:val="18"/>
              </w:rPr>
            </w:pPr>
            <w:r>
              <w:rPr>
                <w:rFonts w:hint="eastAsia" w:ascii="仿宋" w:hAnsi="仿宋" w:eastAsia="仿宋"/>
                <w:sz w:val="18"/>
                <w:szCs w:val="18"/>
              </w:rPr>
              <w:t>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10</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对超出防雷装置检测、防雷工程专业设计或者施工资质等级从事防雷装置检测、防雷工程专业设计或者施工活动的处罚</w:t>
            </w:r>
          </w:p>
        </w:tc>
        <w:tc>
          <w:tcPr>
            <w:tcW w:w="4354" w:type="dxa"/>
            <w:gridSpan w:val="2"/>
            <w:vAlign w:val="center"/>
          </w:tcPr>
          <w:p>
            <w:pPr>
              <w:jc w:val="both"/>
              <w:rPr>
                <w:rFonts w:hint="eastAsia" w:ascii="仿宋" w:hAnsi="仿宋" w:eastAsia="仿宋"/>
                <w:sz w:val="18"/>
                <w:szCs w:val="18"/>
              </w:rPr>
            </w:pPr>
            <w:r>
              <w:rPr>
                <w:rFonts w:hint="eastAsia" w:ascii="仿宋" w:hAnsi="仿宋" w:eastAsia="仿宋"/>
                <w:sz w:val="18"/>
                <w:szCs w:val="18"/>
              </w:rPr>
              <w:t>1、立案阶段责任：气象部门在检查中发现或者接到举报、控告的无资质或超越资质许可范围从事雷电防护装置设计、施工、检测的处罚气象违法案件，应予以审查，决定是否立案。</w:t>
            </w:r>
          </w:p>
          <w:p>
            <w:pPr>
              <w:jc w:val="both"/>
              <w:rPr>
                <w:rFonts w:hint="eastAsia"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hint="eastAsia"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hint="eastAsia"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w:t>
            </w:r>
          </w:p>
          <w:p>
            <w:pPr>
              <w:jc w:val="both"/>
              <w:rPr>
                <w:rFonts w:hint="eastAsia" w:ascii="仿宋" w:hAnsi="仿宋" w:eastAsia="仿宋"/>
                <w:sz w:val="18"/>
                <w:szCs w:val="18"/>
              </w:rPr>
            </w:pPr>
            <w:r>
              <w:rPr>
                <w:rFonts w:hint="eastAsia" w:ascii="仿宋" w:hAnsi="仿宋" w:eastAsia="仿宋"/>
                <w:sz w:val="18"/>
                <w:szCs w:val="18"/>
              </w:rPr>
              <w:t>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hint="eastAsia"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hint="eastAsia"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hint="eastAsia"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hint="eastAsia" w:ascii="仿宋" w:hAnsi="仿宋" w:eastAsia="仿宋"/>
                <w:sz w:val="18"/>
                <w:szCs w:val="18"/>
              </w:rPr>
            </w:pPr>
            <w:r>
              <w:rPr>
                <w:rFonts w:hint="eastAsia" w:ascii="仿宋" w:hAnsi="仿宋" w:eastAsia="仿宋"/>
                <w:sz w:val="18"/>
                <w:szCs w:val="18"/>
              </w:rPr>
              <w:t>2、没有法律或者事实依据实施行政处罚的；</w:t>
            </w:r>
          </w:p>
          <w:p>
            <w:pPr>
              <w:jc w:val="both"/>
              <w:rPr>
                <w:rFonts w:hint="eastAsia" w:ascii="仿宋" w:hAnsi="仿宋" w:eastAsia="仿宋"/>
                <w:sz w:val="18"/>
                <w:szCs w:val="18"/>
              </w:rPr>
            </w:pPr>
            <w:r>
              <w:rPr>
                <w:rFonts w:hint="eastAsia" w:ascii="仿宋" w:hAnsi="仿宋" w:eastAsia="仿宋"/>
                <w:sz w:val="18"/>
                <w:szCs w:val="18"/>
              </w:rPr>
              <w:t>3、未按法定程序实施行政处罚的；</w:t>
            </w:r>
          </w:p>
          <w:p>
            <w:pPr>
              <w:jc w:val="both"/>
              <w:rPr>
                <w:rFonts w:hint="eastAsia"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hint="eastAsia"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hint="eastAsia"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hint="eastAsia"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hint="eastAsia"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hint="eastAsia"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hint="eastAsia"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11</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对防雷装置设计未经当地气象主管机构审核或者审核未通过，擅自施工的处罚</w:t>
            </w:r>
          </w:p>
        </w:tc>
        <w:tc>
          <w:tcPr>
            <w:tcW w:w="4354" w:type="dxa"/>
            <w:gridSpan w:val="2"/>
            <w:vAlign w:val="center"/>
          </w:tcPr>
          <w:p>
            <w:pPr>
              <w:jc w:val="both"/>
              <w:rPr>
                <w:rFonts w:ascii="仿宋" w:hAnsi="仿宋" w:eastAsia="仿宋"/>
                <w:sz w:val="18"/>
                <w:szCs w:val="18"/>
              </w:rPr>
            </w:pPr>
            <w:r>
              <w:rPr>
                <w:rFonts w:hint="eastAsia" w:ascii="仿宋" w:hAnsi="仿宋" w:eastAsia="仿宋"/>
                <w:sz w:val="18"/>
                <w:szCs w:val="18"/>
              </w:rPr>
              <w:t>1、立案阶段责任：气象部门在检查中发现或者接到举报、控告的防雷装置设计未经当地气象主管机构审核或审核未通过擅自施工、防雷装置未经当地气象主管机构验收或未取得合格证书擅自投入使用气象违法案件，应予以审查，决定是否立案。</w:t>
            </w:r>
          </w:p>
          <w:p>
            <w:pPr>
              <w:jc w:val="both"/>
              <w:rPr>
                <w:rFonts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ascii="仿宋" w:hAnsi="仿宋" w:eastAsia="仿宋"/>
                <w:sz w:val="18"/>
                <w:szCs w:val="18"/>
              </w:rPr>
            </w:pPr>
            <w:r>
              <w:rPr>
                <w:rFonts w:hint="eastAsia" w:ascii="仿宋" w:hAnsi="仿宋" w:eastAsia="仿宋"/>
                <w:sz w:val="18"/>
                <w:szCs w:val="18"/>
              </w:rPr>
              <w:t>2、没有法律或者事实依据实施行政处罚的；</w:t>
            </w:r>
          </w:p>
          <w:p>
            <w:pPr>
              <w:jc w:val="both"/>
              <w:rPr>
                <w:rFonts w:ascii="仿宋" w:hAnsi="仿宋" w:eastAsia="仿宋"/>
                <w:sz w:val="18"/>
                <w:szCs w:val="18"/>
              </w:rPr>
            </w:pPr>
            <w:r>
              <w:rPr>
                <w:rFonts w:hint="eastAsia" w:ascii="仿宋" w:hAnsi="仿宋" w:eastAsia="仿宋"/>
                <w:sz w:val="18"/>
                <w:szCs w:val="18"/>
              </w:rPr>
              <w:t>3、未按法定程序实施行政处罚的；</w:t>
            </w:r>
          </w:p>
          <w:p>
            <w:pPr>
              <w:jc w:val="both"/>
              <w:rPr>
                <w:rFonts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12</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对防雷装置未经竣工验收或验收不合格，擅自投入使用的处罚</w:t>
            </w:r>
          </w:p>
        </w:tc>
        <w:tc>
          <w:tcPr>
            <w:tcW w:w="4354" w:type="dxa"/>
            <w:gridSpan w:val="2"/>
            <w:vAlign w:val="center"/>
          </w:tcPr>
          <w:p>
            <w:pPr>
              <w:jc w:val="both"/>
              <w:rPr>
                <w:rFonts w:ascii="仿宋" w:hAnsi="仿宋" w:eastAsia="仿宋"/>
                <w:sz w:val="18"/>
                <w:szCs w:val="18"/>
              </w:rPr>
            </w:pPr>
            <w:r>
              <w:rPr>
                <w:rFonts w:hint="eastAsia" w:ascii="仿宋" w:hAnsi="仿宋" w:eastAsia="仿宋"/>
                <w:sz w:val="18"/>
                <w:szCs w:val="18"/>
              </w:rPr>
              <w:t>1、立案阶段责任：气象部门在检查中发现或者接到举报、控告的防雷装置设计未经当地气象主管机构审核或审核未通过擅自施工、防雷装置未经当地气象主管机构验收或未取得合格证书擅自投入使用气象违法案件，应予以审查，决定是否立案。</w:t>
            </w:r>
          </w:p>
          <w:p>
            <w:pPr>
              <w:jc w:val="both"/>
              <w:rPr>
                <w:rFonts w:ascii="仿宋" w:hAnsi="仿宋" w:eastAsia="仿宋"/>
                <w:sz w:val="18"/>
                <w:szCs w:val="18"/>
              </w:rPr>
            </w:pPr>
            <w:r>
              <w:rPr>
                <w:rFonts w:hint="eastAsia" w:ascii="仿宋" w:hAnsi="仿宋" w:eastAsia="仿宋"/>
                <w:sz w:val="18"/>
                <w:szCs w:val="18"/>
              </w:rPr>
              <w:t>2、调查阶段责任：气象部门对立案的案件，指定专人负责，与当事人有直接利害关系的应当回避。执法人员不得少于两人，调查时应出示执法证件，允许当事人辩解陈述，执法人员应保守有关秘密。</w:t>
            </w:r>
          </w:p>
          <w:p>
            <w:pPr>
              <w:jc w:val="both"/>
              <w:rPr>
                <w:rFonts w:ascii="仿宋" w:hAnsi="仿宋" w:eastAsia="仿宋"/>
                <w:sz w:val="18"/>
                <w:szCs w:val="18"/>
              </w:rPr>
            </w:pPr>
            <w:r>
              <w:rPr>
                <w:rFonts w:hint="eastAsia" w:ascii="仿宋" w:hAnsi="仿宋" w:eastAsia="仿宋"/>
                <w:sz w:val="18"/>
                <w:szCs w:val="18"/>
              </w:rPr>
              <w:t>3、审查阶段责任：气象部门应当对案件违法事实、证据、调查取证程序、法律适用、处罚种类和幅度、当事人陈述和申辩理由等方面进行审查，提出处理意见。</w:t>
            </w:r>
          </w:p>
          <w:p>
            <w:pPr>
              <w:jc w:val="both"/>
              <w:rPr>
                <w:rFonts w:ascii="仿宋" w:hAnsi="仿宋" w:eastAsia="仿宋"/>
                <w:sz w:val="18"/>
                <w:szCs w:val="18"/>
              </w:rPr>
            </w:pPr>
            <w:r>
              <w:rPr>
                <w:rFonts w:hint="eastAsia" w:ascii="仿宋" w:hAnsi="仿宋" w:eastAsia="仿宋"/>
                <w:sz w:val="18"/>
                <w:szCs w:val="18"/>
              </w:rPr>
              <w:t>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w:t>
            </w:r>
          </w:p>
          <w:p>
            <w:pPr>
              <w:jc w:val="both"/>
              <w:rPr>
                <w:rFonts w:ascii="仿宋" w:hAnsi="仿宋" w:eastAsia="仿宋"/>
                <w:sz w:val="18"/>
                <w:szCs w:val="18"/>
              </w:rPr>
            </w:pPr>
            <w:r>
              <w:rPr>
                <w:rFonts w:hint="eastAsia" w:ascii="仿宋" w:hAnsi="仿宋" w:eastAsia="仿宋"/>
                <w:sz w:val="18"/>
                <w:szCs w:val="18"/>
              </w:rPr>
              <w:t>6、送达阶段责任：行政处罚决定书应在7日内送达当事人。</w:t>
            </w:r>
          </w:p>
          <w:p>
            <w:pPr>
              <w:jc w:val="both"/>
              <w:rPr>
                <w:rFonts w:ascii="仿宋" w:hAnsi="仿宋" w:eastAsia="仿宋"/>
                <w:sz w:val="18"/>
                <w:szCs w:val="18"/>
              </w:rPr>
            </w:pPr>
            <w:r>
              <w:rPr>
                <w:rFonts w:hint="eastAsia" w:ascii="仿宋" w:hAnsi="仿宋" w:eastAsia="仿宋"/>
                <w:sz w:val="18"/>
                <w:szCs w:val="18"/>
              </w:rPr>
              <w:t>7、执行阶段责任：监督当事人在决定的期限内，履行生效的行政处罚决定。当事人在法定期限内不申请行政复议或者提起行政诉讼，又不履行的，气象部门可依法采取加处罚款、查封扣押或向人民法院申请强制执行等措施。</w:t>
            </w:r>
          </w:p>
          <w:p>
            <w:pPr>
              <w:jc w:val="both"/>
              <w:rPr>
                <w:rFonts w:ascii="仿宋" w:hAnsi="仿宋" w:eastAsia="仿宋"/>
                <w:sz w:val="18"/>
                <w:szCs w:val="18"/>
              </w:rPr>
            </w:pPr>
            <w:r>
              <w:rPr>
                <w:rFonts w:hint="eastAsia" w:ascii="仿宋" w:hAnsi="仿宋" w:eastAsia="仿宋"/>
                <w:sz w:val="18"/>
                <w:szCs w:val="18"/>
              </w:rPr>
              <w:t>8、其他法律法规规章文件规定应履行的责任。</w:t>
            </w:r>
          </w:p>
        </w:tc>
        <w:tc>
          <w:tcPr>
            <w:tcW w:w="4111" w:type="dxa"/>
            <w:vAlign w:val="center"/>
          </w:tcPr>
          <w:p>
            <w:pPr>
              <w:jc w:val="both"/>
              <w:rPr>
                <w:rFonts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w:t>
            </w:r>
          </w:p>
          <w:p>
            <w:pPr>
              <w:jc w:val="both"/>
              <w:rPr>
                <w:rFonts w:ascii="仿宋" w:hAnsi="仿宋" w:eastAsia="仿宋"/>
                <w:sz w:val="18"/>
                <w:szCs w:val="18"/>
              </w:rPr>
            </w:pPr>
            <w:r>
              <w:rPr>
                <w:rFonts w:hint="eastAsia" w:ascii="仿宋" w:hAnsi="仿宋" w:eastAsia="仿宋"/>
                <w:sz w:val="18"/>
                <w:szCs w:val="18"/>
              </w:rPr>
              <w:t>2、没有法律或者事实依据实施行政处罚的；</w:t>
            </w:r>
          </w:p>
          <w:p>
            <w:pPr>
              <w:jc w:val="both"/>
              <w:rPr>
                <w:rFonts w:ascii="仿宋" w:hAnsi="仿宋" w:eastAsia="仿宋"/>
                <w:sz w:val="18"/>
                <w:szCs w:val="18"/>
              </w:rPr>
            </w:pPr>
            <w:r>
              <w:rPr>
                <w:rFonts w:hint="eastAsia" w:ascii="仿宋" w:hAnsi="仿宋" w:eastAsia="仿宋"/>
                <w:sz w:val="18"/>
                <w:szCs w:val="18"/>
              </w:rPr>
              <w:t>3、未按法定程序实施行政处罚的；</w:t>
            </w:r>
          </w:p>
          <w:p>
            <w:pPr>
              <w:jc w:val="both"/>
              <w:rPr>
                <w:rFonts w:ascii="仿宋" w:hAnsi="仿宋" w:eastAsia="仿宋"/>
                <w:sz w:val="18"/>
                <w:szCs w:val="18"/>
              </w:rPr>
            </w:pPr>
            <w:r>
              <w:rPr>
                <w:rFonts w:hint="eastAsia" w:ascii="仿宋" w:hAnsi="仿宋" w:eastAsia="仿宋"/>
                <w:sz w:val="18"/>
                <w:szCs w:val="18"/>
              </w:rPr>
              <w:t>4、指派不具备法定行政执法资格的人员实施行政处罚的；</w:t>
            </w:r>
          </w:p>
          <w:p>
            <w:pPr>
              <w:jc w:val="both"/>
              <w:rPr>
                <w:rFonts w:ascii="仿宋" w:hAnsi="仿宋" w:eastAsia="仿宋"/>
                <w:sz w:val="18"/>
                <w:szCs w:val="18"/>
              </w:rPr>
            </w:pPr>
            <w:r>
              <w:rPr>
                <w:rFonts w:hint="eastAsia" w:ascii="仿宋" w:hAnsi="仿宋" w:eastAsia="仿宋"/>
                <w:sz w:val="18"/>
                <w:szCs w:val="18"/>
              </w:rPr>
              <w:t>5、违反规定应当回避而不回避，影响公正执行公务，造成不良后果的；</w:t>
            </w:r>
          </w:p>
          <w:p>
            <w:pPr>
              <w:jc w:val="both"/>
              <w:rPr>
                <w:rFonts w:ascii="仿宋" w:hAnsi="仿宋" w:eastAsia="仿宋"/>
                <w:sz w:val="18"/>
                <w:szCs w:val="18"/>
              </w:rPr>
            </w:pPr>
            <w:r>
              <w:rPr>
                <w:rFonts w:hint="eastAsia" w:ascii="仿宋" w:hAnsi="仿宋" w:eastAsia="仿宋"/>
                <w:sz w:val="18"/>
                <w:szCs w:val="18"/>
              </w:rPr>
              <w:t>6、擅自设立处罚种类或者改变处罚幅度、范围的；</w:t>
            </w:r>
          </w:p>
          <w:p>
            <w:pPr>
              <w:jc w:val="both"/>
              <w:rPr>
                <w:rFonts w:ascii="仿宋" w:hAnsi="仿宋" w:eastAsia="仿宋"/>
                <w:sz w:val="18"/>
                <w:szCs w:val="18"/>
              </w:rPr>
            </w:pPr>
            <w:r>
              <w:rPr>
                <w:rFonts w:hint="eastAsia" w:ascii="仿宋" w:hAnsi="仿宋" w:eastAsia="仿宋"/>
                <w:sz w:val="18"/>
                <w:szCs w:val="18"/>
              </w:rPr>
              <w:t>7、违反“罚缴分离”规定，或者将罚款、没收的违法所得或者财物截留、私分或者变相私分的；</w:t>
            </w:r>
          </w:p>
          <w:p>
            <w:pPr>
              <w:jc w:val="both"/>
              <w:rPr>
                <w:rFonts w:ascii="仿宋" w:hAnsi="仿宋" w:eastAsia="仿宋"/>
                <w:sz w:val="18"/>
                <w:szCs w:val="18"/>
              </w:rPr>
            </w:pPr>
            <w:r>
              <w:rPr>
                <w:rFonts w:hint="eastAsia" w:ascii="仿宋" w:hAnsi="仿宋" w:eastAsia="仿宋"/>
                <w:sz w:val="18"/>
                <w:szCs w:val="18"/>
              </w:rPr>
              <w:t>8、对当事人进行罚款、没收财物等行政处罚不使用法定单据的；</w:t>
            </w:r>
          </w:p>
          <w:p>
            <w:pPr>
              <w:jc w:val="both"/>
              <w:rPr>
                <w:rFonts w:ascii="仿宋" w:hAnsi="仿宋" w:eastAsia="仿宋"/>
                <w:sz w:val="18"/>
                <w:szCs w:val="18"/>
              </w:rPr>
            </w:pPr>
            <w:r>
              <w:rPr>
                <w:rFonts w:hint="eastAsia" w:ascii="仿宋" w:hAnsi="仿宋" w:eastAsia="仿宋"/>
                <w:sz w:val="18"/>
                <w:szCs w:val="18"/>
              </w:rPr>
              <w:t>9、在气象设施和气象探测环境管理工作中滥用职权、玩忽职守、徇私舞弊的；</w:t>
            </w:r>
          </w:p>
          <w:p>
            <w:pPr>
              <w:jc w:val="both"/>
              <w:rPr>
                <w:rFonts w:ascii="仿宋" w:hAnsi="仿宋" w:eastAsia="仿宋"/>
                <w:sz w:val="18"/>
                <w:szCs w:val="18"/>
              </w:rPr>
            </w:pPr>
            <w:r>
              <w:rPr>
                <w:rFonts w:hint="eastAsia" w:ascii="仿宋" w:hAnsi="仿宋" w:eastAsia="仿宋"/>
                <w:sz w:val="18"/>
                <w:szCs w:val="18"/>
              </w:rPr>
              <w:t>10、在行气象政处罚过程中发生腐败行为的；</w:t>
            </w:r>
          </w:p>
          <w:p>
            <w:pPr>
              <w:jc w:val="both"/>
              <w:rPr>
                <w:rFonts w:ascii="仿宋" w:hAnsi="仿宋" w:eastAsia="仿宋"/>
                <w:sz w:val="18"/>
                <w:szCs w:val="18"/>
              </w:rPr>
            </w:pPr>
            <w:r>
              <w:rPr>
                <w:rFonts w:hint="eastAsia" w:ascii="仿宋" w:hAnsi="仿宋" w:eastAsia="仿宋"/>
                <w:sz w:val="18"/>
                <w:szCs w:val="18"/>
              </w:rPr>
              <w:t>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67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序号</w:t>
            </w:r>
          </w:p>
        </w:tc>
        <w:tc>
          <w:tcPr>
            <w:tcW w:w="120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权利类别</w:t>
            </w:r>
          </w:p>
        </w:tc>
        <w:tc>
          <w:tcPr>
            <w:tcW w:w="1245"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权利事项</w:t>
            </w:r>
          </w:p>
        </w:tc>
        <w:tc>
          <w:tcPr>
            <w:tcW w:w="4354" w:type="dxa"/>
            <w:gridSpan w:val="2"/>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责任事项</w:t>
            </w:r>
          </w:p>
        </w:tc>
        <w:tc>
          <w:tcPr>
            <w:tcW w:w="4111"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监督重点</w:t>
            </w:r>
          </w:p>
        </w:tc>
        <w:tc>
          <w:tcPr>
            <w:tcW w:w="1559"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监督措施</w:t>
            </w:r>
          </w:p>
        </w:tc>
        <w:tc>
          <w:tcPr>
            <w:tcW w:w="993" w:type="dxa"/>
            <w:vAlign w:val="center"/>
          </w:tcPr>
          <w:p>
            <w:pPr>
              <w:widowControl/>
              <w:wordWrap/>
              <w:adjustRightInd w:val="0"/>
              <w:snapToGrid w:val="0"/>
              <w:spacing w:after="0" w:line="240" w:lineRule="auto"/>
              <w:ind w:left="0" w:leftChars="0" w:right="0" w:firstLine="0" w:firstLineChars="0"/>
              <w:jc w:val="center"/>
              <w:textAlignment w:val="auto"/>
              <w:outlineLvl w:val="9"/>
              <w:rPr>
                <w:rFonts w:ascii="黑体" w:hAnsi="黑体" w:eastAsia="黑体"/>
                <w:sz w:val="21"/>
                <w:szCs w:val="21"/>
              </w:rPr>
            </w:pPr>
            <w:r>
              <w:rPr>
                <w:rFonts w:hint="eastAsia" w:ascii="黑体" w:hAnsi="黑体" w:eastAsia="黑体"/>
                <w:sz w:val="21"/>
                <w:szCs w:val="21"/>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8" w:hRule="atLeast"/>
        </w:trPr>
        <w:tc>
          <w:tcPr>
            <w:tcW w:w="675" w:type="dxa"/>
            <w:vAlign w:val="center"/>
          </w:tcPr>
          <w:p>
            <w:pPr>
              <w:jc w:val="center"/>
              <w:rPr>
                <w:rFonts w:ascii="仿宋" w:hAnsi="仿宋" w:eastAsia="仿宋"/>
                <w:sz w:val="18"/>
                <w:szCs w:val="18"/>
              </w:rPr>
            </w:pPr>
            <w:r>
              <w:rPr>
                <w:rFonts w:hint="eastAsia" w:ascii="仿宋" w:hAnsi="仿宋" w:eastAsia="仿宋"/>
                <w:sz w:val="18"/>
                <w:szCs w:val="18"/>
              </w:rPr>
              <w:t>13</w:t>
            </w:r>
          </w:p>
        </w:tc>
        <w:tc>
          <w:tcPr>
            <w:tcW w:w="1205" w:type="dxa"/>
            <w:vAlign w:val="center"/>
          </w:tcPr>
          <w:p>
            <w:pPr>
              <w:jc w:val="center"/>
              <w:rPr>
                <w:rFonts w:ascii="仿宋" w:hAnsi="仿宋" w:eastAsia="仿宋"/>
                <w:sz w:val="18"/>
                <w:szCs w:val="18"/>
              </w:rPr>
            </w:pPr>
            <w:r>
              <w:rPr>
                <w:rFonts w:hint="eastAsia" w:ascii="仿宋" w:hAnsi="仿宋" w:eastAsia="仿宋"/>
                <w:sz w:val="18"/>
                <w:szCs w:val="18"/>
              </w:rPr>
              <w:t>行政处罚</w:t>
            </w:r>
          </w:p>
        </w:tc>
        <w:tc>
          <w:tcPr>
            <w:tcW w:w="1245" w:type="dxa"/>
            <w:vAlign w:val="center"/>
          </w:tcPr>
          <w:p>
            <w:pPr>
              <w:jc w:val="center"/>
              <w:rPr>
                <w:rFonts w:ascii="仿宋" w:hAnsi="仿宋" w:eastAsia="仿宋"/>
                <w:sz w:val="18"/>
                <w:szCs w:val="18"/>
              </w:rPr>
            </w:pPr>
            <w:r>
              <w:rPr>
                <w:rFonts w:hint="eastAsia" w:ascii="仿宋" w:hAnsi="仿宋" w:eastAsia="仿宋"/>
                <w:sz w:val="18"/>
                <w:szCs w:val="18"/>
              </w:rPr>
              <w:t>对违反以下三条规定的处罚：（一）应当安装防雷装置而拒不安装的；（二）使用不符合使用要求的防雷装置或者产品的；（三）已有防雷装置，拒绝进行检测或者经检测不合格又拒不整改的；</w:t>
            </w:r>
          </w:p>
        </w:tc>
        <w:tc>
          <w:tcPr>
            <w:tcW w:w="4354" w:type="dxa"/>
            <w:gridSpan w:val="2"/>
            <w:vAlign w:val="center"/>
          </w:tcPr>
          <w:p>
            <w:pPr>
              <w:jc w:val="both"/>
              <w:rPr>
                <w:rFonts w:ascii="仿宋" w:hAnsi="仿宋" w:eastAsia="仿宋"/>
                <w:sz w:val="18"/>
                <w:szCs w:val="18"/>
              </w:rPr>
            </w:pPr>
            <w:r>
              <w:rPr>
                <w:rFonts w:hint="eastAsia" w:ascii="仿宋" w:hAnsi="仿宋" w:eastAsia="仿宋"/>
                <w:sz w:val="18"/>
                <w:szCs w:val="18"/>
              </w:rPr>
              <w:t>1、立案阶段责任：气象部门在检查中发现或者接到举报、控告的防雷装置设计未经当地气象主管机构审核或审核未通过擅自施工、防雷装置未经当地气象主管机构验收或未取得合格证书擅自投入使用气象违法案件，应予以审查，决定是否立案。2、调查阶段责任：气象部门对立案的案件，指定专人负责，与当事人有直接利害关系的应当回避。执法人员不得少于两人，调查时应出示执法证件，允许当事人辩解陈述，执法人员应保守有关秘密。3、审查阶段责任：气象部门应当对案件违法事实、证据、调查取证程序、法律适用、处罚种类和幅度、当事人陈述和申辩理由等方面进行审查，提出处理意见。4、告知阶段责任：气象部门在做出行政处罚决定前，应书面告知当事人违法事实及其享有的陈述、申辩、要求听证等权利。5、决定阶段责任：气象部门根据审理情况决定是否予以行政处罚。依法需要给予行政处罚的，应制作气象行政处罚决定书，载明违法事实和证据、处罚依据和内容、申请行政复议或提起行政诉讼的途径和期限等内容。气象行政处罚案件自立案之日起，应当在6个月内作出处理决定。6、送达阶段责任：行政处罚决定书应在7日内送达当事人。7、执行阶段责任：监督当事人在决定的期限内，履行生效的行政处罚决定。当事人在法定期限内不申请行政复议或者提起行政诉讼，又不履行的，气象部门可依法采取加处罚款、查封扣押或向人民法院申请强制执行等措施。8、其他法律法规规章文件规定应履行的责任。</w:t>
            </w:r>
          </w:p>
        </w:tc>
        <w:tc>
          <w:tcPr>
            <w:tcW w:w="4111" w:type="dxa"/>
            <w:vAlign w:val="center"/>
          </w:tcPr>
          <w:p>
            <w:pPr>
              <w:jc w:val="both"/>
              <w:rPr>
                <w:rFonts w:ascii="仿宋" w:hAnsi="仿宋" w:eastAsia="仿宋"/>
                <w:sz w:val="18"/>
                <w:szCs w:val="18"/>
              </w:rPr>
            </w:pPr>
            <w:r>
              <w:rPr>
                <w:rFonts w:hint="eastAsia" w:ascii="仿宋" w:hAnsi="仿宋" w:eastAsia="仿宋"/>
                <w:sz w:val="18"/>
                <w:szCs w:val="18"/>
              </w:rPr>
              <w:t>1、对应当予以制止和处罚的违法行为不予制止、处罚，致使公民、法人或者其他组织的合法权益、公共利益和社会秩序遭受损害的；2、没有法律或者事实依据实施行政处罚的；3、未按法定程序实施行政处罚的；4、指派不具备法定行政执法资格的人员实施行政处罚的；5、违反规定应当回避而不回避，影响公正执行公务，造成不良后果的；6、擅自设立处罚种类或者改变处罚幅度、范围的；7、违反“罚缴分离”规定，或者将罚款、没收的违法所得或者财物截留、私分或者变相私分的；8、对当事人进行罚款、没收财物等行政处罚不使用法定单据的；9、在气象设施和气象探测环境管理工作中滥用职权、玩忽职守、徇私舞弊的；10、在行气象政处罚过程中发生腐败行为的；11、对应当依法移交司法机关追究刑事责任的不移交，以行政处罚代替刑罚其他违反法律法规规章文件规定的行为12、法律法规规定的其他责任情形。</w:t>
            </w:r>
          </w:p>
        </w:tc>
        <w:tc>
          <w:tcPr>
            <w:tcW w:w="1559" w:type="dxa"/>
            <w:vAlign w:val="center"/>
          </w:tcPr>
          <w:p>
            <w:pPr>
              <w:jc w:val="both"/>
              <w:rPr>
                <w:rFonts w:ascii="仿宋" w:hAnsi="仿宋" w:eastAsia="仿宋"/>
                <w:sz w:val="18"/>
                <w:szCs w:val="18"/>
              </w:rPr>
            </w:pPr>
            <w:r>
              <w:rPr>
                <w:rFonts w:hint="eastAsia" w:ascii="仿宋" w:hAnsi="仿宋" w:eastAsia="仿宋"/>
                <w:sz w:val="18"/>
                <w:szCs w:val="18"/>
              </w:rPr>
              <w:t>1.加强政治理论学习和政策法规，党纪政纪和业务知识学习。2.建立健全管理制度，强化规则意识，提高工作制度化、规范化水平。</w:t>
            </w:r>
          </w:p>
          <w:p>
            <w:pPr>
              <w:jc w:val="both"/>
              <w:rPr>
                <w:rFonts w:ascii="仿宋" w:hAnsi="仿宋" w:eastAsia="仿宋"/>
                <w:sz w:val="18"/>
                <w:szCs w:val="18"/>
              </w:rPr>
            </w:pPr>
            <w:r>
              <w:rPr>
                <w:rFonts w:hint="eastAsia" w:ascii="仿宋" w:hAnsi="仿宋" w:eastAsia="仿宋"/>
                <w:sz w:val="18"/>
                <w:szCs w:val="18"/>
              </w:rPr>
              <w:t>3.定期开展监督检查，评估审批过程的科学合理性。</w:t>
            </w:r>
          </w:p>
          <w:p>
            <w:pPr>
              <w:jc w:val="both"/>
              <w:rPr>
                <w:rFonts w:ascii="仿宋" w:hAnsi="仿宋" w:eastAsia="仿宋"/>
                <w:sz w:val="18"/>
                <w:szCs w:val="18"/>
              </w:rPr>
            </w:pPr>
            <w:r>
              <w:rPr>
                <w:rFonts w:hint="eastAsia" w:ascii="仿宋" w:hAnsi="仿宋" w:eastAsia="仿宋"/>
                <w:sz w:val="18"/>
                <w:szCs w:val="18"/>
              </w:rPr>
              <w:t>4.对不履行或不正确履行行政职责的人员进行追责问责。</w:t>
            </w:r>
          </w:p>
        </w:tc>
        <w:tc>
          <w:tcPr>
            <w:tcW w:w="993" w:type="dxa"/>
            <w:vAlign w:val="center"/>
          </w:tcPr>
          <w:p>
            <w:pPr>
              <w:jc w:val="both"/>
              <w:rPr>
                <w:rFonts w:ascii="仿宋" w:hAnsi="仿宋" w:eastAsia="仿宋"/>
                <w:sz w:val="21"/>
                <w:szCs w:val="21"/>
              </w:rPr>
            </w:pPr>
            <w:r>
              <w:rPr>
                <w:rFonts w:hint="eastAsia" w:ascii="仿宋" w:hAnsi="仿宋" w:eastAsia="仿宋" w:cs="宋体"/>
                <w:color w:val="000000"/>
                <w:sz w:val="21"/>
                <w:szCs w:val="21"/>
              </w:rPr>
              <w:t>气象服务中心主任张和勇及分管领导副局长孙保刚</w:t>
            </w:r>
          </w:p>
        </w:tc>
      </w:tr>
    </w:tbl>
    <w:p>
      <w:pPr>
        <w:rPr>
          <w:rFonts w:hint="eastAsia" w:ascii="仿宋_GB2312" w:hAnsi="仿宋_GB2312" w:eastAsia="仿宋_GB2312" w:cs="仿宋_GB2312"/>
          <w:sz w:val="11"/>
          <w:szCs w:val="11"/>
        </w:rPr>
      </w:pP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单位（盖章）</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主要负责人签字：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纪检组长签字：</w:t>
      </w:r>
    </w:p>
    <w:sectPr>
      <w:headerReference r:id="rId4" w:type="default"/>
      <w:footerReference r:id="rId5" w:type="default"/>
      <w:pgSz w:w="16838" w:h="11906" w:orient="landscape"/>
      <w:pgMar w:top="851" w:right="1440" w:bottom="1800" w:left="1440" w:header="708" w:footer="708" w:gutter="0"/>
      <w:pgNumType w:fmt="decimal"/>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tabs>
        <w:tab w:val="center" w:pos="6979"/>
        <w:tab w:val="right" w:pos="14078"/>
      </w:tabs>
      <w:jc w:val="right"/>
    </w:pPr>
    <w:r>
      <w:rPr>
        <w:rFonts w:ascii="Tahoma" w:hAnsi="Tahoma" w:eastAsia="微软雅黑" w:cs="Times New Roman"/>
        <w:sz w:val="18"/>
        <w:szCs w:val="18"/>
        <w:lang w:val="en-US" w:eastAsia="zh-CN" w:bidi="ar-SA"/>
      </w:rPr>
      <w:pict>
        <v:shape id="文本框 4" o:spid="_x0000_s1025"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24"/>
                    <w:szCs w:val="24"/>
                    <w:lang w:eastAsia="zh-CN"/>
                  </w:rPr>
                </w:pPr>
                <w:r>
                  <w:rPr>
                    <w:rFonts w:hint="eastAsia"/>
                    <w:sz w:val="18"/>
                    <w:szCs w:val="18"/>
                    <w:lang w:eastAsia="zh-CN"/>
                  </w:rPr>
                  <w:fldChar w:fldCharType="begin"/>
                </w:r>
                <w:r>
                  <w:rPr>
                    <w:rFonts w:hint="eastAsia"/>
                    <w:sz w:val="18"/>
                    <w:szCs w:val="18"/>
                    <w:lang w:eastAsia="zh-CN"/>
                  </w:rPr>
                  <w:instrText xml:space="preserve"> PAGE  \* MERGEFORMAT </w:instrText>
                </w:r>
                <w:r>
                  <w:rPr>
                    <w:rFonts w:hint="eastAsia"/>
                    <w:sz w:val="18"/>
                    <w:szCs w:val="18"/>
                    <w:lang w:eastAsia="zh-CN"/>
                  </w:rPr>
                  <w:fldChar w:fldCharType="separate"/>
                </w:r>
                <w:r>
                  <w:t>1</w:t>
                </w:r>
                <w:r>
                  <w:rPr>
                    <w:rFonts w:hint="eastAsia"/>
                    <w:sz w:val="18"/>
                    <w:szCs w:val="18"/>
                    <w:lang w:eastAsia="zh-CN"/>
                  </w:rPr>
                  <w:fldChar w:fldCharType="end"/>
                </w:r>
              </w:p>
            </w:txbxContent>
          </v:textbox>
        </v:shape>
      </w:pict>
    </w:r>
    <w:r>
      <w:rPr>
        <w:rFonts w:ascii="Tahoma" w:hAnsi="Tahoma" w:eastAsia="微软雅黑" w:cs="Times New Roman"/>
        <w:sz w:val="18"/>
        <w:szCs w:val="18"/>
        <w:lang w:val="en-US" w:eastAsia="zh-CN" w:bidi="ar-SA"/>
      </w:rPr>
      <w:pict>
        <v:shape id="文本框 3" o:spid="_x0000_s1026"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jc w:val="center"/>
                  <w:rPr>
                    <w:rFonts w:hint="eastAsia" w:eastAsia="微软雅黑"/>
                    <w:sz w:val="18"/>
                    <w:lang w:eastAsia="zh-CN"/>
                  </w:rPr>
                </w:pPr>
              </w:p>
            </w:txbxContent>
          </v:textbox>
        </v:shape>
      </w:pict>
    </w:r>
    <w:r>
      <w:rPr>
        <w:rFonts w:hint="eastAsia"/>
        <w:lang w:eastAsia="zh-CN"/>
      </w:rPr>
      <w:tab/>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displayVerticalDrawingGridEvery w:val="2"/>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A2ACB"/>
    <w:rsid w:val="000F08A1"/>
    <w:rsid w:val="001947DB"/>
    <w:rsid w:val="001F5F02"/>
    <w:rsid w:val="002135E8"/>
    <w:rsid w:val="00237AEA"/>
    <w:rsid w:val="002F6B73"/>
    <w:rsid w:val="00323B43"/>
    <w:rsid w:val="00391EC1"/>
    <w:rsid w:val="003D37D8"/>
    <w:rsid w:val="00403F99"/>
    <w:rsid w:val="0040588B"/>
    <w:rsid w:val="00426133"/>
    <w:rsid w:val="004358AB"/>
    <w:rsid w:val="004378AF"/>
    <w:rsid w:val="00493F04"/>
    <w:rsid w:val="005915E6"/>
    <w:rsid w:val="005B6B5D"/>
    <w:rsid w:val="006000DA"/>
    <w:rsid w:val="00611868"/>
    <w:rsid w:val="00661766"/>
    <w:rsid w:val="0066240F"/>
    <w:rsid w:val="006E6C48"/>
    <w:rsid w:val="0072050C"/>
    <w:rsid w:val="007249D8"/>
    <w:rsid w:val="007331D4"/>
    <w:rsid w:val="007504B2"/>
    <w:rsid w:val="007B3C6A"/>
    <w:rsid w:val="007F2125"/>
    <w:rsid w:val="00823EE7"/>
    <w:rsid w:val="008861B4"/>
    <w:rsid w:val="008A2D92"/>
    <w:rsid w:val="008B7726"/>
    <w:rsid w:val="00934814"/>
    <w:rsid w:val="00967F5A"/>
    <w:rsid w:val="009A5DBB"/>
    <w:rsid w:val="009C63C9"/>
    <w:rsid w:val="00A24F83"/>
    <w:rsid w:val="00A55EB6"/>
    <w:rsid w:val="00A61F60"/>
    <w:rsid w:val="00AC1E1C"/>
    <w:rsid w:val="00B02AA8"/>
    <w:rsid w:val="00BC30B9"/>
    <w:rsid w:val="00C027F1"/>
    <w:rsid w:val="00C364A4"/>
    <w:rsid w:val="00C9697C"/>
    <w:rsid w:val="00CA0A7F"/>
    <w:rsid w:val="00CF55D0"/>
    <w:rsid w:val="00D31D50"/>
    <w:rsid w:val="00E60435"/>
    <w:rsid w:val="00E64AB5"/>
    <w:rsid w:val="00E81F17"/>
    <w:rsid w:val="00F03C4D"/>
    <w:rsid w:val="00F36CBB"/>
    <w:rsid w:val="00FA7657"/>
    <w:rsid w:val="00FC450D"/>
    <w:rsid w:val="00FD731A"/>
    <w:rsid w:val="05750484"/>
    <w:rsid w:val="06385FC4"/>
    <w:rsid w:val="0FC264EA"/>
    <w:rsid w:val="16D22ACE"/>
    <w:rsid w:val="26DE4854"/>
    <w:rsid w:val="27156F2D"/>
    <w:rsid w:val="3A2940F7"/>
    <w:rsid w:val="3C9F4B00"/>
    <w:rsid w:val="3F057C68"/>
    <w:rsid w:val="411D1161"/>
    <w:rsid w:val="45A63B54"/>
    <w:rsid w:val="48E64B72"/>
    <w:rsid w:val="60B37BB5"/>
    <w:rsid w:val="76271066"/>
    <w:rsid w:val="7D306F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uiPriority w:val="99"/>
    <w:rPr>
      <w:rFonts w:ascii="Tahoma" w:hAnsi="Tahoma"/>
      <w:sz w:val="18"/>
      <w:szCs w:val="18"/>
    </w:rPr>
  </w:style>
  <w:style w:type="character" w:customStyle="1" w:styleId="7">
    <w:name w:val="页脚 Char"/>
    <w:basedOn w:val="4"/>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2377</Words>
  <Characters>13555</Characters>
  <Lines>112</Lines>
  <Paragraphs>31</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2015-05-14T06:33:00Z</dcterms:created>
  <dc:creator>Administrator</dc:creator>
  <cp:lastModifiedBy>Administrator</cp:lastModifiedBy>
  <cp:lastPrinted>2015-06-02T09:36:04Z</cp:lastPrinted>
  <dcterms:modified xsi:type="dcterms:W3CDTF">2015-06-02T10:04:25Z</dcterms:modified>
  <dc:title>台前县气象局权利监督清单一览表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