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hint="eastAsia" w:ascii="仿宋_GB2312" w:hAnsi="仿宋_GB2312" w:eastAsia="仿宋_GB2312" w:cs="仿宋_GB2312"/>
          <w:sz w:val="44"/>
          <w:szCs w:val="44"/>
          <w:lang w:eastAsia="zh-CN"/>
        </w:rPr>
      </w:pPr>
      <w:r>
        <w:rPr>
          <w:rFonts w:hint="eastAsia" w:ascii="仿宋_GB2312" w:hAnsi="仿宋_GB2312" w:eastAsia="仿宋_GB2312" w:cs="仿宋_GB2312"/>
          <w:b w:val="0"/>
          <w:bCs w:val="0"/>
          <w:sz w:val="52"/>
          <w:szCs w:val="52"/>
          <w:lang w:eastAsia="zh-CN"/>
        </w:rPr>
        <w:t>孙口镇人民政府</w:t>
      </w:r>
    </w:p>
    <w:p>
      <w:pPr>
        <w:jc w:val="center"/>
        <w:rPr>
          <w:rFonts w:ascii="黑体" w:hAnsi="黑体" w:eastAsia="黑体" w:cs="黑体"/>
          <w:sz w:val="52"/>
          <w:szCs w:val="52"/>
        </w:rPr>
      </w:pPr>
    </w:p>
    <w:p>
      <w:pPr>
        <w:jc w:val="center"/>
        <w:rPr>
          <w:rFonts w:ascii="隶书" w:hAnsi="隶书" w:eastAsia="隶书" w:cs="隶书"/>
          <w:sz w:val="52"/>
          <w:szCs w:val="52"/>
        </w:rPr>
        <w:sectPr>
          <w:pgSz w:w="11906" w:h="16838"/>
          <w:pgMar w:top="1440" w:right="1531" w:bottom="1440" w:left="1587" w:header="850" w:footer="992" w:gutter="0"/>
          <w:pgNumType w:fmt="numberInDash" w:start="1"/>
          <w:cols w:space="0" w:num="1"/>
          <w:rtlGutter w:val="0"/>
          <w:docGrid w:type="lines" w:linePitch="317" w:charSpace="0"/>
        </w:sectPr>
      </w:pPr>
      <w:r>
        <w:rPr>
          <w:rFonts w:hint="eastAsia" w:ascii="隶书" w:hAnsi="隶书" w:eastAsia="隶书" w:cs="隶书"/>
          <w:sz w:val="52"/>
          <w:szCs w:val="52"/>
        </w:rPr>
        <w:t>2016年度部门决算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孙口镇人民政府</w:t>
      </w:r>
      <w:r>
        <w:rPr>
          <w:rFonts w:hint="eastAsia" w:ascii="黑体" w:hAnsi="黑体" w:eastAsia="黑体" w:cs="黑体"/>
          <w:sz w:val="32"/>
          <w:szCs w:val="32"/>
        </w:rPr>
        <w:t>概况</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主要</w:t>
      </w:r>
      <w:r>
        <w:rPr>
          <w:rFonts w:hint="eastAsia" w:ascii="宋体" w:hAnsi="宋体" w:eastAsia="宋体" w:cs="宋体"/>
          <w:sz w:val="32"/>
          <w:szCs w:val="32"/>
          <w:lang w:eastAsia="zh-CN"/>
        </w:rPr>
        <w:t>职责</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孙口镇人民政府</w:t>
      </w:r>
      <w:r>
        <w:rPr>
          <w:rFonts w:hint="eastAsia" w:ascii="黑体" w:hAnsi="黑体" w:eastAsia="黑体" w:cs="黑体"/>
          <w:sz w:val="32"/>
          <w:szCs w:val="32"/>
        </w:rPr>
        <w:t>2016年度部门决算表</w:t>
      </w:r>
    </w:p>
    <w:p>
      <w:pPr>
        <w:jc w:val="left"/>
        <w:rPr>
          <w:rFonts w:ascii="宋体" w:hAnsi="宋体" w:eastAsia="宋体" w:cs="宋体"/>
          <w:sz w:val="32"/>
          <w:szCs w:val="32"/>
        </w:rPr>
      </w:pPr>
      <w:r>
        <w:rPr>
          <w:rFonts w:hint="eastAsia" w:ascii="宋体" w:hAnsi="宋体" w:eastAsia="宋体" w:cs="宋体"/>
          <w:sz w:val="32"/>
          <w:szCs w:val="32"/>
        </w:rPr>
        <w:t>一、收入支出决算总表</w:t>
      </w:r>
    </w:p>
    <w:p>
      <w:pPr>
        <w:jc w:val="left"/>
        <w:rPr>
          <w:rFonts w:ascii="宋体" w:hAnsi="宋体" w:eastAsia="宋体" w:cs="宋体"/>
          <w:sz w:val="32"/>
          <w:szCs w:val="32"/>
        </w:rPr>
      </w:pPr>
      <w:r>
        <w:rPr>
          <w:rFonts w:hint="eastAsia" w:ascii="宋体" w:hAnsi="宋体" w:eastAsia="宋体" w:cs="宋体"/>
          <w:sz w:val="32"/>
          <w:szCs w:val="32"/>
        </w:rPr>
        <w:t>二、收入决算表</w:t>
      </w:r>
    </w:p>
    <w:p>
      <w:pPr>
        <w:jc w:val="left"/>
        <w:rPr>
          <w:rFonts w:ascii="宋体" w:hAnsi="宋体" w:eastAsia="宋体" w:cs="宋体"/>
          <w:sz w:val="32"/>
          <w:szCs w:val="32"/>
        </w:rPr>
      </w:pPr>
      <w:r>
        <w:rPr>
          <w:rFonts w:hint="eastAsia" w:ascii="宋体" w:hAnsi="宋体" w:eastAsia="宋体" w:cs="宋体"/>
          <w:sz w:val="32"/>
          <w:szCs w:val="32"/>
        </w:rPr>
        <w:t>三、支出决算表</w:t>
      </w:r>
    </w:p>
    <w:p>
      <w:pPr>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孙口镇人民政府</w:t>
      </w:r>
      <w:r>
        <w:rPr>
          <w:rFonts w:hint="eastAsia" w:ascii="黑体" w:hAnsi="黑体" w:eastAsia="黑体" w:cs="黑体"/>
          <w:sz w:val="32"/>
          <w:szCs w:val="32"/>
        </w:rPr>
        <w:t>2016年度部门决算情况说明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0" w:num="1"/>
          <w:rtlGutter w:val="0"/>
          <w:docGrid w:type="lines" w:linePitch="317" w:charSpace="0"/>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numPr>
          <w:ilvl w:val="0"/>
          <w:numId w:val="2"/>
        </w:numPr>
        <w:jc w:val="center"/>
        <w:outlineLvl w:val="0"/>
        <w:rPr>
          <w:rFonts w:hint="eastAsia" w:ascii="隶书" w:hAnsi="隶书" w:eastAsia="隶书" w:cs="隶书"/>
          <w:sz w:val="48"/>
          <w:szCs w:val="48"/>
        </w:rPr>
      </w:pPr>
      <w:r>
        <w:rPr>
          <w:rFonts w:hint="eastAsia" w:ascii="隶书" w:hAnsi="隶书" w:eastAsia="隶书" w:cs="隶书"/>
          <w:sz w:val="48"/>
          <w:szCs w:val="48"/>
        </w:rPr>
        <w:t>分　　</w:t>
      </w:r>
      <w:r>
        <w:rPr>
          <w:rFonts w:hint="eastAsia" w:ascii="隶书" w:hAnsi="隶书" w:eastAsia="隶书" w:cs="隶书"/>
          <w:sz w:val="48"/>
          <w:szCs w:val="48"/>
          <w:lang w:eastAsia="zh-CN"/>
        </w:rPr>
        <w:t>孙口镇人民政府</w:t>
      </w:r>
      <w:r>
        <w:rPr>
          <w:rFonts w:hint="eastAsia" w:ascii="隶书" w:hAnsi="隶书" w:eastAsia="隶书" w:cs="隶书"/>
          <w:sz w:val="48"/>
          <w:szCs w:val="48"/>
        </w:rPr>
        <w:t>概况</w:t>
      </w:r>
    </w:p>
    <w:p>
      <w:pPr>
        <w:widowControl w:val="0"/>
        <w:numPr>
          <w:ilvl w:val="0"/>
          <w:numId w:val="0"/>
        </w:numPr>
        <w:jc w:val="center"/>
        <w:outlineLvl w:val="0"/>
        <w:rPr>
          <w:rFonts w:hint="eastAsia" w:ascii="隶书" w:hAnsi="隶书" w:eastAsia="隶书" w:cs="隶书"/>
          <w:sz w:val="48"/>
          <w:szCs w:val="48"/>
        </w:rPr>
      </w:pPr>
    </w:p>
    <w:p>
      <w:pPr>
        <w:widowControl w:val="0"/>
        <w:numPr>
          <w:ilvl w:val="0"/>
          <w:numId w:val="0"/>
        </w:numPr>
        <w:jc w:val="center"/>
        <w:outlineLvl w:val="0"/>
        <w:rPr>
          <w:rFonts w:hint="eastAsia" w:ascii="隶书" w:hAnsi="隶书" w:eastAsia="隶书" w:cs="隶书"/>
          <w:sz w:val="48"/>
          <w:szCs w:val="48"/>
        </w:rPr>
        <w:sectPr>
          <w:footerReference r:id="rId4" w:type="default"/>
          <w:pgSz w:w="11906" w:h="16838"/>
          <w:pgMar w:top="1440" w:right="1531" w:bottom="1440" w:left="1587" w:header="850" w:footer="992" w:gutter="0"/>
          <w:pgNumType w:fmt="numberInDash" w:start="1"/>
          <w:cols w:space="0" w:num="1"/>
          <w:rtlGutter w:val="0"/>
          <w:docGrid w:type="lines" w:linePitch="317" w:charSpace="0"/>
        </w:sectPr>
      </w:pPr>
    </w:p>
    <w:p>
      <w:pPr>
        <w:numPr>
          <w:ilvl w:val="0"/>
          <w:numId w:val="3"/>
        </w:numPr>
        <w:spacing w:line="360" w:lineRule="auto"/>
        <w:ind w:firstLine="640" w:firstLineChars="200"/>
        <w:jc w:val="left"/>
        <w:outlineLvl w:val="1"/>
        <w:rPr>
          <w:rFonts w:hint="eastAsia" w:ascii="仿宋" w:hAnsi="仿宋" w:eastAsia="仿宋" w:cs="仿宋"/>
          <w:sz w:val="32"/>
          <w:szCs w:val="32"/>
          <w:lang w:eastAsia="zh-CN"/>
        </w:rPr>
      </w:pPr>
      <w:r>
        <w:rPr>
          <w:rFonts w:hint="eastAsia" w:ascii="黑体" w:hAnsi="黑体" w:eastAsia="黑体" w:cs="黑体"/>
          <w:sz w:val="32"/>
          <w:szCs w:val="32"/>
        </w:rPr>
        <w:t>主要</w:t>
      </w:r>
      <w:r>
        <w:rPr>
          <w:rFonts w:hint="eastAsia" w:ascii="黑体" w:hAnsi="黑体" w:eastAsia="黑体" w:cs="黑体"/>
          <w:sz w:val="32"/>
          <w:szCs w:val="32"/>
          <w:lang w:eastAsia="zh-CN"/>
        </w:rPr>
        <w:t>职责</w:t>
      </w:r>
    </w:p>
    <w:p>
      <w:pPr>
        <w:numPr>
          <w:numId w:val="0"/>
        </w:numPr>
        <w:spacing w:line="360" w:lineRule="auto"/>
        <w:ind w:leftChars="200"/>
        <w:jc w:val="left"/>
        <w:outlineLvl w:val="1"/>
        <w:rPr>
          <w:rFonts w:hint="eastAsia" w:ascii="仿宋" w:hAnsi="仿宋" w:eastAsia="仿宋" w:cs="仿宋"/>
          <w:sz w:val="32"/>
          <w:szCs w:val="32"/>
          <w:lang w:eastAsia="zh-CN"/>
        </w:rPr>
      </w:pPr>
      <w:r>
        <w:rPr>
          <w:rFonts w:hint="eastAsia" w:ascii="黑体" w:hAnsi="黑体" w:eastAsia="黑体" w:cs="黑体"/>
          <w:sz w:val="32"/>
          <w:szCs w:val="32"/>
          <w:lang w:val="en-US" w:eastAsia="zh-CN"/>
        </w:rPr>
        <w:t xml:space="preserve">     </w:t>
      </w:r>
      <w:r>
        <w:rPr>
          <w:rFonts w:hint="eastAsia" w:ascii="仿宋" w:hAnsi="仿宋" w:eastAsia="仿宋" w:cs="仿宋"/>
          <w:b/>
          <w:bCs/>
          <w:sz w:val="32"/>
          <w:szCs w:val="32"/>
          <w:lang w:eastAsia="zh-CN"/>
        </w:rPr>
        <w:t>（一）</w:t>
      </w:r>
      <w:r>
        <w:rPr>
          <w:rFonts w:hint="eastAsia" w:ascii="仿宋" w:hAnsi="仿宋" w:eastAsia="仿宋" w:cs="仿宋"/>
          <w:sz w:val="32"/>
          <w:szCs w:val="32"/>
        </w:rPr>
        <w:t>编制和执行本镇国民经济及社会发展计划</w:t>
      </w:r>
      <w:r>
        <w:rPr>
          <w:rFonts w:hint="eastAsia" w:ascii="仿宋" w:hAnsi="仿宋" w:eastAsia="仿宋" w:cs="仿宋"/>
          <w:sz w:val="32"/>
          <w:szCs w:val="32"/>
          <w:lang w:eastAsia="zh-CN"/>
        </w:rPr>
        <w:t>；</w:t>
      </w:r>
    </w:p>
    <w:p>
      <w:pPr>
        <w:numPr>
          <w:ilvl w:val="0"/>
          <w:numId w:val="0"/>
        </w:numPr>
        <w:adjustRightInd w:val="0"/>
        <w:snapToGrid w:val="0"/>
        <w:spacing w:line="360" w:lineRule="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（二）</w:t>
      </w:r>
      <w:r>
        <w:rPr>
          <w:rFonts w:hint="eastAsia" w:ascii="仿宋" w:hAnsi="仿宋" w:eastAsia="仿宋" w:cs="仿宋"/>
          <w:sz w:val="32"/>
          <w:szCs w:val="32"/>
        </w:rPr>
        <w:t>管理本镇经济、社会事业和各项行政工作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w:t>
      </w:r>
      <w:r>
        <w:rPr>
          <w:rFonts w:hint="eastAsia" w:ascii="仿宋" w:hAnsi="仿宋" w:eastAsia="仿宋" w:cs="仿宋"/>
          <w:sz w:val="32"/>
          <w:szCs w:val="32"/>
        </w:rPr>
        <w:t>保障企业的基层群众性自治组织、集体经济组织应有的自主权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hAnsi="仿宋_GB2312" w:eastAsia="仿宋_GB2312" w:cs="仿宋_GB2312"/>
          <w:sz w:val="32"/>
          <w:szCs w:val="32"/>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（四）</w:t>
      </w:r>
      <w:r>
        <w:rPr>
          <w:rFonts w:hint="eastAsia" w:ascii="仿宋" w:hAnsi="仿宋" w:eastAsia="仿宋" w:cs="仿宋"/>
          <w:sz w:val="32"/>
          <w:szCs w:val="32"/>
        </w:rPr>
        <w:t>办理上级领导机关交办的其他工作。</w:t>
      </w:r>
    </w:p>
    <w:p>
      <w:pPr>
        <w:numPr>
          <w:numId w:val="0"/>
        </w:numPr>
        <w:spacing w:line="360" w:lineRule="auto"/>
        <w:jc w:val="left"/>
        <w:rPr>
          <w:rFonts w:ascii="仿宋_GB2312" w:hAnsi="仿宋_GB2312" w:eastAsia="仿宋_GB2312" w:cs="仿宋_GB2312"/>
          <w:sz w:val="32"/>
          <w:szCs w:val="32"/>
        </w:rPr>
      </w:pPr>
    </w:p>
    <w:p>
      <w:pPr>
        <w:spacing w:line="360" w:lineRule="auto"/>
        <w:jc w:val="left"/>
        <w:rPr>
          <w:rFonts w:ascii="楷体_GB2312" w:hAnsi="楷体_GB2312" w:eastAsia="楷体_GB2312" w:cs="楷体_GB2312"/>
          <w:sz w:val="32"/>
          <w:szCs w:val="32"/>
        </w:rPr>
      </w:pPr>
    </w:p>
    <w:p>
      <w:pPr>
        <w:numPr>
          <w:ilvl w:val="0"/>
          <w:numId w:val="4"/>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孙口镇人民政府</w:t>
      </w:r>
      <w:r>
        <w:rPr>
          <w:rFonts w:hint="eastAsia" w:ascii="仿宋_GB2312" w:hAnsi="仿宋_GB2312" w:eastAsia="仿宋_GB2312" w:cs="仿宋_GB2312"/>
          <w:sz w:val="32"/>
          <w:szCs w:val="32"/>
        </w:rPr>
        <w:t>2016年度部门决算编制范围的单位包括：</w:t>
      </w:r>
    </w:p>
    <w:p>
      <w:pPr>
        <w:numPr>
          <w:ilvl w:val="0"/>
          <w:numId w:val="5"/>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孙口镇人民政府</w:t>
      </w:r>
      <w:r>
        <w:rPr>
          <w:rFonts w:hint="eastAsia" w:ascii="仿宋_GB2312" w:hAnsi="仿宋_GB2312" w:eastAsia="仿宋_GB2312" w:cs="仿宋_GB2312"/>
          <w:sz w:val="32"/>
          <w:szCs w:val="32"/>
        </w:rPr>
        <w:t>本级</w:t>
      </w:r>
    </w:p>
    <w:p>
      <w:pPr>
        <w:numPr>
          <w:ilvl w:val="0"/>
          <w:numId w:val="5"/>
        </w:numPr>
        <w:spacing w:line="360" w:lineRule="auto"/>
        <w:ind w:firstLine="640" w:firstLineChars="200"/>
        <w:jc w:val="left"/>
        <w:rPr>
          <w:rFonts w:ascii="楷体_GB2312" w:hAnsi="楷体_GB2312" w:eastAsia="楷体_GB2312" w:cs="楷体_GB2312"/>
          <w:sz w:val="32"/>
          <w:szCs w:val="32"/>
        </w:rPr>
        <w:sectPr>
          <w:pgSz w:w="11906" w:h="16838"/>
          <w:pgMar w:top="1440" w:right="1531" w:bottom="1440" w:left="1587" w:header="850" w:footer="992" w:gutter="0"/>
          <w:pgNumType w:fmt="numberInDash"/>
          <w:cols w:space="0" w:num="1"/>
          <w:rtlGutter w:val="0"/>
          <w:docGrid w:type="lines" w:linePitch="317" w:charSpace="0"/>
        </w:sectPr>
      </w:pPr>
      <w:r>
        <w:rPr>
          <w:rFonts w:hint="eastAsia" w:ascii="仿宋_GB2312" w:hAnsi="仿宋_GB2312" w:eastAsia="仿宋_GB2312" w:cs="仿宋_GB2312"/>
          <w:sz w:val="32"/>
          <w:szCs w:val="32"/>
          <w:lang w:eastAsia="zh-CN"/>
        </w:rPr>
        <w:t>党政办公室、社会事务办公室、经济发展办公室、文化</w:t>
      </w:r>
      <w:r>
        <w:rPr>
          <w:rFonts w:hint="eastAsia" w:ascii="仿宋_GB2312" w:hAnsi="仿宋_GB2312" w:eastAsia="仿宋_GB2312" w:cs="仿宋_GB2312"/>
          <w:sz w:val="32"/>
          <w:szCs w:val="32"/>
        </w:rPr>
        <w:t>服务中心</w:t>
      </w:r>
      <w:r>
        <w:rPr>
          <w:rFonts w:hint="eastAsia" w:ascii="仿宋_GB2312" w:hAnsi="仿宋_GB2312" w:eastAsia="仿宋_GB2312" w:cs="仿宋_GB2312"/>
          <w:sz w:val="32"/>
          <w:szCs w:val="32"/>
          <w:lang w:eastAsia="zh-CN"/>
        </w:rPr>
        <w:t>、人口与计划生育技术服务中心、村镇建设发展中心、农业服务中心。</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lang w:eastAsia="zh-CN"/>
        </w:rPr>
        <w:t>孙口镇人民政府</w:t>
      </w:r>
      <w:r>
        <w:rPr>
          <w:rFonts w:hint="eastAsia" w:ascii="隶书" w:hAnsi="隶书" w:eastAsia="隶书" w:cs="隶书"/>
          <w:sz w:val="48"/>
          <w:szCs w:val="48"/>
        </w:rPr>
        <w:t>2016年度部门决算表</w:t>
      </w:r>
    </w:p>
    <w:tbl>
      <w:tblPr>
        <w:tblStyle w:val="5"/>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50" w:type="dxa"/>
            <w:gridSpan w:val="10"/>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shd w:val="clear" w:color="auto" w:fill="auto"/>
            <w:vAlign w:val="center"/>
          </w:tcPr>
          <w:p>
            <w:pPr>
              <w:rPr>
                <w:rFonts w:hint="eastAsia" w:ascii="宋体" w:hAnsi="宋体" w:eastAsia="宋体" w:cs="宋体"/>
                <w:i w:val="0"/>
                <w:color w:val="000000"/>
                <w:sz w:val="16"/>
                <w:szCs w:val="16"/>
                <w:u w:val="none"/>
              </w:rPr>
            </w:pPr>
          </w:p>
        </w:tc>
        <w:tc>
          <w:tcPr>
            <w:tcW w:w="472" w:type="dxa"/>
            <w:shd w:val="clear" w:color="auto" w:fill="auto"/>
            <w:vAlign w:val="center"/>
          </w:tcPr>
          <w:p>
            <w:pPr>
              <w:rPr>
                <w:rFonts w:hint="eastAsia" w:ascii="宋体" w:hAnsi="宋体" w:eastAsia="宋体" w:cs="宋体"/>
                <w:i w:val="0"/>
                <w:color w:val="000000"/>
                <w:sz w:val="16"/>
                <w:szCs w:val="16"/>
                <w:u w:val="none"/>
              </w:rPr>
            </w:pPr>
          </w:p>
        </w:tc>
        <w:tc>
          <w:tcPr>
            <w:tcW w:w="1316" w:type="dxa"/>
            <w:shd w:val="clear" w:color="auto" w:fill="auto"/>
            <w:vAlign w:val="center"/>
          </w:tcPr>
          <w:p>
            <w:pPr>
              <w:rPr>
                <w:rFonts w:hint="eastAsia" w:ascii="宋体" w:hAnsi="宋体" w:eastAsia="宋体" w:cs="宋体"/>
                <w:i w:val="0"/>
                <w:color w:val="000000"/>
                <w:sz w:val="16"/>
                <w:szCs w:val="16"/>
                <w:u w:val="none"/>
              </w:rPr>
            </w:pPr>
          </w:p>
        </w:tc>
        <w:tc>
          <w:tcPr>
            <w:tcW w:w="3144" w:type="dxa"/>
            <w:gridSpan w:val="3"/>
            <w:shd w:val="clear" w:color="auto" w:fill="auto"/>
            <w:vAlign w:val="center"/>
          </w:tcPr>
          <w:p>
            <w:pPr>
              <w:rPr>
                <w:rFonts w:hint="eastAsia" w:ascii="宋体" w:hAnsi="宋体" w:eastAsia="宋体" w:cs="宋体"/>
                <w:i w:val="0"/>
                <w:color w:val="000000"/>
                <w:sz w:val="16"/>
                <w:szCs w:val="16"/>
                <w:u w:val="none"/>
              </w:rPr>
            </w:pPr>
          </w:p>
        </w:tc>
        <w:tc>
          <w:tcPr>
            <w:tcW w:w="527" w:type="dxa"/>
            <w:shd w:val="clear" w:color="auto" w:fill="auto"/>
            <w:vAlign w:val="center"/>
          </w:tcPr>
          <w:p>
            <w:pPr>
              <w:rPr>
                <w:rFonts w:hint="eastAsia" w:ascii="宋体" w:hAnsi="宋体" w:eastAsia="宋体" w:cs="宋体"/>
                <w:i w:val="0"/>
                <w:color w:val="000000"/>
                <w:sz w:val="16"/>
                <w:szCs w:val="16"/>
                <w:u w:val="none"/>
              </w:rPr>
            </w:pPr>
          </w:p>
        </w:tc>
        <w:tc>
          <w:tcPr>
            <w:tcW w:w="16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收　　入</w:t>
            </w:r>
          </w:p>
        </w:tc>
        <w:tc>
          <w:tcPr>
            <w:tcW w:w="5280"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一、财政拨款收入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4,938.9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一、一般公共服务支出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544.0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二、上级补助收入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二、外交支出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三、事业收入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四、经营收入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四、公共安全支出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五、附属单位上缴收入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五、教育支出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六、其他收入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六、科学技术支出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七、文化体育与传媒支出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八、社会保障和就业支出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305.1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十、节能环保支出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十一、城乡社区支出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2,863.0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十二、农林水支出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802.0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十三、交通运输支出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十五、商业服务业等支出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十六、金融支出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十七、援助其他地区支出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十九、住房保障支出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二十、粮油物资储备支出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二十一、其他支出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二十二、债务还本支出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二十三、债务付息支出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25</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4,938.9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54</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4,938.9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结余分配</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年初结转和结余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209.1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年末结转和结余</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246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64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29</w:t>
            </w:r>
          </w:p>
        </w:tc>
        <w:tc>
          <w:tcPr>
            <w:tcW w:w="243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5,148.0</w:t>
            </w:r>
          </w:p>
        </w:tc>
        <w:tc>
          <w:tcPr>
            <w:tcW w:w="232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49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58</w:t>
            </w:r>
          </w:p>
        </w:tc>
        <w:tc>
          <w:tcPr>
            <w:tcW w:w="2460"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lang w:val="en-US" w:eastAsia="zh-CN"/>
              </w:rPr>
            </w:pPr>
            <w:r>
              <w:rPr>
                <w:rFonts w:hint="eastAsia" w:ascii="宋体" w:hAnsi="宋体" w:eastAsia="宋体" w:cs="宋体"/>
                <w:i w:val="0"/>
                <w:color w:val="000000"/>
                <w:kern w:val="0"/>
                <w:sz w:val="22"/>
                <w:szCs w:val="22"/>
                <w:u w:val="none"/>
                <w:lang w:val="en-US" w:eastAsia="zh-CN" w:bidi="ar"/>
              </w:rPr>
              <w:t>5,148.0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注：本表反映部门本年度的总收支和年末结转结余情况。</w:t>
            </w:r>
          </w:p>
        </w:tc>
      </w:tr>
    </w:tbl>
    <w:p>
      <w:pPr>
        <w:spacing w:line="360" w:lineRule="auto"/>
        <w:jc w:val="both"/>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5"/>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337" w:type="dxa"/>
            <w:gridSpan w:val="16"/>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2"/>
            <w:shd w:val="clear" w:color="auto" w:fill="auto"/>
            <w:vAlign w:val="center"/>
          </w:tcPr>
          <w:p>
            <w:pPr>
              <w:rPr>
                <w:rFonts w:hint="eastAsia" w:ascii="宋体" w:hAnsi="宋体" w:eastAsia="宋体" w:cs="宋体"/>
                <w:i w:val="0"/>
                <w:color w:val="000000"/>
                <w:sz w:val="16"/>
                <w:szCs w:val="16"/>
                <w:u w:val="none"/>
              </w:rPr>
            </w:pPr>
          </w:p>
        </w:tc>
        <w:tc>
          <w:tcPr>
            <w:tcW w:w="1036" w:type="dxa"/>
            <w:shd w:val="clear" w:color="auto" w:fill="auto"/>
            <w:vAlign w:val="center"/>
          </w:tcPr>
          <w:p>
            <w:pPr>
              <w:rPr>
                <w:rFonts w:hint="eastAsia" w:ascii="宋体" w:hAnsi="宋体" w:eastAsia="宋体" w:cs="宋体"/>
                <w:i w:val="0"/>
                <w:color w:val="000000"/>
                <w:sz w:val="16"/>
                <w:szCs w:val="16"/>
                <w:u w:val="none"/>
              </w:rPr>
            </w:pPr>
          </w:p>
        </w:tc>
        <w:tc>
          <w:tcPr>
            <w:tcW w:w="1904"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gridSpan w:val="2"/>
            <w:shd w:val="clear" w:color="auto" w:fill="auto"/>
            <w:vAlign w:val="center"/>
          </w:tcPr>
          <w:p>
            <w:pPr>
              <w:rPr>
                <w:rFonts w:hint="eastAsia" w:ascii="宋体" w:hAnsi="宋体" w:eastAsia="宋体" w:cs="宋体"/>
                <w:i w:val="0"/>
                <w:color w:val="000000"/>
                <w:sz w:val="16"/>
                <w:szCs w:val="16"/>
                <w:u w:val="none"/>
              </w:rPr>
            </w:pPr>
          </w:p>
        </w:tc>
        <w:tc>
          <w:tcPr>
            <w:tcW w:w="96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1094"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附属单位</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功能分类</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科目编码</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4,938.9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4,938.9</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201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一般公共服务支出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544.0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544.0</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20101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人大事务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18.6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18.6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2010101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18.6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18.6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20103</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427.3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427.3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2010301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427.3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427.3</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20106</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财政事务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49.6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49.6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2010650</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49.6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49.6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20131</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48.6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48.6</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206</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科学技术支出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220.4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220.4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20604</w:t>
            </w:r>
          </w:p>
        </w:tc>
        <w:tc>
          <w:tcPr>
            <w:tcW w:w="1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技术研究与开发</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220.4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220.4</w:t>
            </w: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2060499</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其他技术研究与开发支出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220.4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220.4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文化体育与传媒支出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34.9</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34.9</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20701</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文化</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34.9</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34.9</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2070103</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19.4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19.4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2070109</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15.5</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15.5</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305.1</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305.1</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20801</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40.8</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40.8</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2080103</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40.8</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40.8</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20805</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166.0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166.0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2080501</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166.0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166.0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20808</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抚恤</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96.4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96.4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2080801</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96.4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96.4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20810</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社会福利</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2081002</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129.1</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129.1</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21007</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计划生育事务</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129.1</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129.1</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2100716</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计划生育机构</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14.6</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14.6</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2100717</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计划生育服务</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15.8</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15.8</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2100799</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98.7</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98.7</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211</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节能环保支出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21103</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污染防治</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2110301</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大气</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40.4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城乡社区支出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2,863.0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2,863.0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21201</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城乡社区管理事务</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48.5</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48.5</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2120103</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48.5</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48.5</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21203</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城乡社区公共设施</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455.6</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455.6</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2120399</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455.6</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455.6</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21205</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城乡社区环境卫生</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598.6</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598.6</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2120501</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598.6</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598.6</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21208</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1,760.4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1,760.4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2120801</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96.4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96.4</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2120803</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1,664.0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1,664.0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农林水支出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802.0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802.0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21301</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农业</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292.2</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292.2</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2130104</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18.7</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18.7</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2130126</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农村公益事业</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256.3</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256.3</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2130199</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其他农业支出</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17.2</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17.2</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21303</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水利</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49.3</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49.3</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2130303</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49.3</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49.3</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21307</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农村综合改革</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460.5</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460.5</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2130701</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239.0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239.0</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2130705</w:t>
            </w: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221.5</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221.5</w:t>
            </w: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rPr>
            </w:pPr>
          </w:p>
        </w:tc>
        <w:tc>
          <w:tcPr>
            <w:tcW w:w="199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rtlGutter w:val="0"/>
          <w:docGrid w:type="lines" w:linePitch="317" w:charSpace="0"/>
        </w:sectPr>
      </w:pPr>
    </w:p>
    <w:tbl>
      <w:tblPr>
        <w:tblStyle w:val="5"/>
        <w:tblW w:w="10350" w:type="dxa"/>
        <w:tblInd w:w="-821" w:type="dxa"/>
        <w:tblLayout w:type="fixed"/>
        <w:tblCellMar>
          <w:top w:w="15" w:type="dxa"/>
          <w:left w:w="15" w:type="dxa"/>
          <w:bottom w:w="15" w:type="dxa"/>
          <w:right w:w="15" w:type="dxa"/>
        </w:tblCellMar>
      </w:tblPr>
      <w:tblGrid>
        <w:gridCol w:w="735"/>
        <w:gridCol w:w="162"/>
        <w:gridCol w:w="585"/>
        <w:gridCol w:w="1638"/>
        <w:gridCol w:w="1042"/>
        <w:gridCol w:w="163"/>
        <w:gridCol w:w="836"/>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0" w:type="dxa"/>
            <w:gridSpan w:val="15"/>
            <w:shd w:val="clear" w:color="auto" w:fill="auto"/>
            <w:vAlign w:val="center"/>
          </w:tcPr>
          <w:p>
            <w:pPr>
              <w:widowControl/>
              <w:ind w:firstLine="4200" w:firstLineChars="1500"/>
              <w:jc w:val="both"/>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Layout w:type="fixed"/>
          <w:tblCellMar>
            <w:top w:w="15" w:type="dxa"/>
            <w:left w:w="15" w:type="dxa"/>
            <w:bottom w:w="15" w:type="dxa"/>
            <w:right w:w="15" w:type="dxa"/>
          </w:tblCellMar>
        </w:tblPrEx>
        <w:trPr>
          <w:trHeight w:val="315" w:hRule="atLeast"/>
        </w:trPr>
        <w:tc>
          <w:tcPr>
            <w:tcW w:w="1482" w:type="dxa"/>
            <w:gridSpan w:val="3"/>
            <w:shd w:val="clear" w:color="auto" w:fill="auto"/>
            <w:vAlign w:val="center"/>
          </w:tcPr>
          <w:p>
            <w:pPr>
              <w:rPr>
                <w:rFonts w:ascii="宋体" w:hAnsi="宋体" w:eastAsia="宋体" w:cs="宋体"/>
                <w:color w:val="000000"/>
                <w:sz w:val="16"/>
                <w:szCs w:val="16"/>
              </w:rPr>
            </w:pPr>
          </w:p>
        </w:tc>
        <w:tc>
          <w:tcPr>
            <w:tcW w:w="1638" w:type="dxa"/>
            <w:shd w:val="clear" w:color="auto" w:fill="auto"/>
            <w:vAlign w:val="center"/>
          </w:tcPr>
          <w:p>
            <w:pPr>
              <w:rPr>
                <w:rFonts w:ascii="宋体" w:hAnsi="宋体" w:eastAsia="宋体" w:cs="宋体"/>
                <w:color w:val="000000"/>
                <w:sz w:val="16"/>
                <w:szCs w:val="16"/>
              </w:rPr>
            </w:pPr>
          </w:p>
        </w:tc>
        <w:tc>
          <w:tcPr>
            <w:tcW w:w="1042"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192"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4,938.9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3,161.3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1,777.6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201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一般公共服务支出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544.0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544.0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人大事务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2010101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20103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427.3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427.3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2010301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427.3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427.3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20106</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财政事务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49.6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49.6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2010650</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事业运行</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49.6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49.6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20131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2013101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206</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科学技术支出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20604</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技术研究与开发</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220.4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220.4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2060499</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其他技术研究与开发支出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220.4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220.4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文化体育与传媒支出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34.9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34.9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文化</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34.9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34.9</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2070103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机关服务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19.4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19.4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2070109</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群众文化</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15.5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15.5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社会保障和就业支出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305.1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305.1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2080103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机关服务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行政事业单位离退休</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166.0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166.0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2080501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166.0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166.0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20808</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抚恤</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96.4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96.4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2080801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死亡抚恤</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96.4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96.4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20810</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社会福利</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2081002</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老年福利</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医疗卫生与计划生育支出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129.1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129.1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21007</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计划生育事务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129.1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129.1</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2100716</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计划生育机构</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14.6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14.6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2100717</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计划生育服务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15.8</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2100799</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98.7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98.7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节能环保支出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21103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污染防治</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2110301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大气</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城乡社区支出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2,863.0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1,102.7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1,760.4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城乡社区管理事务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48.5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48.5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2120103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机关服务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48.5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48.5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城乡社区公共设施</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455.6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455.6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2120399</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455.6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455.6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21205</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城乡社区环境卫生</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598.6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598.6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2120501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598.6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598.6</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21208</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1,760.4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1,760.4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2120801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96.4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96.4</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2120803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城市建设支出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1,664.0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1,664.0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农林水支出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802.0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784.7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17.2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农业</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292.2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275.0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17.2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2130104</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事业运行</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18.7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18.7</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2130126</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农村公益事业</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256.3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256.3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2130199</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其他农业支出</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17.2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17.2</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水利</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49.3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49.3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2130303</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机关服务</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49.3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49.3</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21307</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农村综合改革</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460.5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460.5</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2130701</w:t>
            </w:r>
          </w:p>
        </w:tc>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239.0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239.0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897"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2130705</w:t>
            </w:r>
          </w:p>
        </w:tc>
        <w:tc>
          <w:tcPr>
            <w:tcW w:w="222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221.5</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221.5</w:t>
            </w: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5"/>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rtlGutter w:val="0"/>
          <w:docGrid w:type="lines" w:linePitch="318" w:charSpace="0"/>
        </w:sectPr>
      </w:pPr>
    </w:p>
    <w:tbl>
      <w:tblPr>
        <w:tblStyle w:val="5"/>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169" w:hRule="atLeast"/>
        </w:trPr>
        <w:tc>
          <w:tcPr>
            <w:tcW w:w="10425" w:type="dxa"/>
            <w:gridSpan w:val="14"/>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Layout w:type="fixed"/>
          <w:tblCellMar>
            <w:top w:w="15" w:type="dxa"/>
            <w:left w:w="15" w:type="dxa"/>
            <w:bottom w:w="15" w:type="dxa"/>
            <w:right w:w="15" w:type="dxa"/>
          </w:tblCellMar>
        </w:tblPrEx>
        <w:trPr>
          <w:trHeight w:val="90" w:hRule="atLeast"/>
        </w:trPr>
        <w:tc>
          <w:tcPr>
            <w:tcW w:w="2289" w:type="dxa"/>
            <w:gridSpan w:val="2"/>
            <w:shd w:val="clear" w:color="auto" w:fill="auto"/>
            <w:vAlign w:val="center"/>
          </w:tcPr>
          <w:p>
            <w:pPr>
              <w:rPr>
                <w:rFonts w:ascii="宋体" w:hAnsi="宋体" w:eastAsia="宋体" w:cs="宋体"/>
                <w:color w:val="000000"/>
                <w:sz w:val="16"/>
                <w:szCs w:val="16"/>
              </w:rPr>
            </w:pPr>
          </w:p>
        </w:tc>
        <w:tc>
          <w:tcPr>
            <w:tcW w:w="315" w:type="dxa"/>
            <w:gridSpan w:val="2"/>
            <w:shd w:val="clear" w:color="auto" w:fill="auto"/>
            <w:vAlign w:val="center"/>
          </w:tcPr>
          <w:p>
            <w:pPr>
              <w:rPr>
                <w:rFonts w:ascii="宋体" w:hAnsi="宋体" w:eastAsia="宋体" w:cs="宋体"/>
                <w:color w:val="000000"/>
                <w:sz w:val="16"/>
                <w:szCs w:val="16"/>
              </w:rPr>
            </w:pPr>
          </w:p>
        </w:tc>
        <w:tc>
          <w:tcPr>
            <w:tcW w:w="1416" w:type="dxa"/>
            <w:shd w:val="clear" w:color="auto" w:fill="auto"/>
            <w:vAlign w:val="center"/>
          </w:tcPr>
          <w:p>
            <w:pPr>
              <w:rPr>
                <w:rFonts w:ascii="宋体" w:hAnsi="宋体" w:eastAsia="宋体" w:cs="宋体"/>
                <w:color w:val="000000"/>
                <w:sz w:val="16"/>
                <w:szCs w:val="16"/>
              </w:rPr>
            </w:pPr>
          </w:p>
        </w:tc>
        <w:tc>
          <w:tcPr>
            <w:tcW w:w="1432" w:type="dxa"/>
            <w:shd w:val="clear" w:color="auto" w:fill="auto"/>
            <w:vAlign w:val="center"/>
          </w:tcPr>
          <w:p>
            <w:pPr>
              <w:rPr>
                <w:rFonts w:ascii="宋体" w:hAnsi="宋体" w:eastAsia="宋体" w:cs="宋体"/>
                <w:color w:val="000000"/>
                <w:sz w:val="16"/>
                <w:szCs w:val="16"/>
              </w:rPr>
            </w:pPr>
          </w:p>
        </w:tc>
        <w:tc>
          <w:tcPr>
            <w:tcW w:w="316" w:type="dxa"/>
            <w:shd w:val="clear" w:color="auto" w:fill="auto"/>
            <w:vAlign w:val="center"/>
          </w:tcPr>
          <w:p>
            <w:pPr>
              <w:rPr>
                <w:rFonts w:ascii="宋体" w:hAnsi="宋体" w:eastAsia="宋体" w:cs="宋体"/>
                <w:color w:val="000000"/>
                <w:sz w:val="16"/>
                <w:szCs w:val="16"/>
              </w:rPr>
            </w:pPr>
          </w:p>
        </w:tc>
        <w:tc>
          <w:tcPr>
            <w:tcW w:w="999" w:type="dxa"/>
            <w:gridSpan w:val="3"/>
            <w:shd w:val="clear" w:color="auto" w:fill="auto"/>
            <w:vAlign w:val="center"/>
          </w:tcPr>
          <w:p>
            <w:pPr>
              <w:jc w:val="right"/>
              <w:rPr>
                <w:rFonts w:ascii="宋体" w:hAnsi="宋体" w:eastAsia="宋体" w:cs="宋体"/>
                <w:color w:val="000000"/>
                <w:sz w:val="16"/>
                <w:szCs w:val="16"/>
              </w:rPr>
            </w:pPr>
          </w:p>
        </w:tc>
        <w:tc>
          <w:tcPr>
            <w:tcW w:w="999" w:type="dxa"/>
            <w:shd w:val="clear" w:color="auto" w:fill="auto"/>
            <w:vAlign w:val="center"/>
          </w:tcPr>
          <w:p>
            <w:pPr>
              <w:jc w:val="right"/>
              <w:rPr>
                <w:rFonts w:ascii="宋体" w:hAnsi="宋体" w:eastAsia="宋体" w:cs="宋体"/>
                <w:color w:val="000000"/>
                <w:sz w:val="16"/>
                <w:szCs w:val="16"/>
              </w:rPr>
            </w:pPr>
          </w:p>
        </w:tc>
        <w:tc>
          <w:tcPr>
            <w:tcW w:w="2659" w:type="dxa"/>
            <w:gridSpan w:val="3"/>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3,178.5</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544.0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544.0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1,760.4</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220.4</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220.4</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34.9</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34.9</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305.1</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305.1</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129.1</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129.1</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40.4</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40.4</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2,863.0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1,102.7</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1,760.4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802.0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802.0</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4,938.9</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4,938.9</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3,178.5</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1,760.4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4,938.9</w:t>
            </w:r>
          </w:p>
        </w:tc>
        <w:tc>
          <w:tcPr>
            <w:tcW w:w="208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4,938.9</w:t>
            </w:r>
          </w:p>
        </w:tc>
        <w:tc>
          <w:tcPr>
            <w:tcW w:w="130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3,178.5</w:t>
            </w:r>
          </w:p>
        </w:tc>
        <w:tc>
          <w:tcPr>
            <w:tcW w:w="130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1,760.4</w:t>
            </w:r>
          </w:p>
        </w:tc>
      </w:tr>
      <w:tr>
        <w:tblPrEx>
          <w:tblLayout w:type="fixed"/>
          <w:tblCellMar>
            <w:top w:w="15" w:type="dxa"/>
            <w:left w:w="15" w:type="dxa"/>
            <w:bottom w:w="15" w:type="dxa"/>
            <w:right w:w="15" w:type="dxa"/>
          </w:tblCellMar>
        </w:tblPrEx>
        <w:trPr>
          <w:trHeight w:val="495" w:hRule="atLeast"/>
        </w:trPr>
        <w:tc>
          <w:tcPr>
            <w:tcW w:w="10425" w:type="dxa"/>
            <w:gridSpan w:val="14"/>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5"/>
        <w:tblW w:w="10440" w:type="dxa"/>
        <w:tblInd w:w="-902" w:type="dxa"/>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8"/>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2"/>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Layout w:type="fixed"/>
          <w:tblCellMar>
            <w:top w:w="15" w:type="dxa"/>
            <w:left w:w="15" w:type="dxa"/>
            <w:bottom w:w="15" w:type="dxa"/>
            <w:right w:w="15" w:type="dxa"/>
          </w:tblCellMar>
        </w:tblPrEx>
        <w:trPr>
          <w:trHeight w:val="270" w:hRule="atLeast"/>
        </w:trPr>
        <w:tc>
          <w:tcPr>
            <w:tcW w:w="1891" w:type="dxa"/>
            <w:gridSpan w:val="2"/>
            <w:shd w:val="clear" w:color="auto" w:fill="auto"/>
            <w:vAlign w:val="center"/>
          </w:tcPr>
          <w:p>
            <w:pPr>
              <w:rPr>
                <w:rFonts w:ascii="宋体" w:hAnsi="宋体" w:eastAsia="宋体" w:cs="宋体"/>
                <w:color w:val="000000"/>
                <w:sz w:val="16"/>
                <w:szCs w:val="16"/>
              </w:rPr>
            </w:pPr>
          </w:p>
        </w:tc>
        <w:tc>
          <w:tcPr>
            <w:tcW w:w="1800" w:type="dxa"/>
            <w:shd w:val="clear" w:color="auto" w:fill="auto"/>
            <w:vAlign w:val="center"/>
          </w:tcPr>
          <w:p>
            <w:pPr>
              <w:rPr>
                <w:rFonts w:ascii="宋体" w:hAnsi="宋体" w:eastAsia="宋体" w:cs="宋体"/>
                <w:color w:val="000000"/>
                <w:sz w:val="16"/>
                <w:szCs w:val="16"/>
              </w:rPr>
            </w:pPr>
          </w:p>
        </w:tc>
        <w:tc>
          <w:tcPr>
            <w:tcW w:w="2325"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3,178.5</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3,161.3</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17.2</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201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一般公共服务支出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544.0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544.0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人大事务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2010101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20103</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427.3</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427.3</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2010301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427.3</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427.3</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20106</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财政事务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49.6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49.6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2010650</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事业运行</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49.6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49.6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20131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2013101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行政运行</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206</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科学技术支出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220.4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220.4</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20604</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技术研究与开发</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220.4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220.4</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2060499</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其他技术研究与开发支出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220.4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220.4</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207</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文化体育与传媒支出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34.9</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34.9</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文化</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34.9</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34.9</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2070103</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机关服务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19.4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19.4</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2070109</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群众文化</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15.5</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15.5</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社会保障和就业支出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305.1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305.1</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2080103</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机关服务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20805</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行政事业单位离退休</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166.0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166.0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2080501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166.0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166.0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20808</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抚恤</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96.4</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2080801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死亡抚恤</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96.4</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20810</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社会福利</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2081002</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老年福利</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医疗卫生与计划生育支出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129.1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129.1</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21007</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计划生育事务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129.1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129.1</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2100716</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计划生育机构</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14.6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14.6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2100717</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计划生育服务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15.8</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15.8</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2100799</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98.7</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98.7</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节能环保支出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40.4</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21103</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污染防治</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40.4</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2110301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大气</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40.4</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城乡社区支出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1,102.7</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1,102.7</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城乡社区管理事务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48.5</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48.5</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2120103</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机关服务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48.5</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48.5</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21203</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城乡社区公共设施</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455.6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455.6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2120399</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455.6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455.6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21205</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城乡社区环境卫生</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598.6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598.6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2120501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598.6</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598.6</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农林水支出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802.0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784.7</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17.2</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农业</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292.2</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275.0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17.2</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2130104</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事业运行</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18.7</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18.7</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2130126</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农村公益事业</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256.3</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256.3</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2130199</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其他农业支出</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17.2</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17.2</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21303</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水利</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49.3</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49.3</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2130303</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机关服务</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49.3</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49.3</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21307</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农村综合改革</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460.5</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460.5</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2130701</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239.0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239.0</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6"/>
                <w:szCs w:val="16"/>
              </w:rPr>
            </w:pPr>
            <w:r>
              <w:rPr>
                <w:rFonts w:hint="eastAsia" w:ascii="宋体" w:hAnsi="宋体" w:eastAsia="宋体" w:cs="宋体"/>
                <w:i w:val="0"/>
                <w:color w:val="000000"/>
                <w:kern w:val="0"/>
                <w:sz w:val="22"/>
                <w:szCs w:val="22"/>
                <w:u w:val="none"/>
                <w:lang w:val="en-US" w:eastAsia="zh-CN" w:bidi="ar"/>
              </w:rPr>
              <w:t>2130705</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221.5</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221.5</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600" w:hRule="atLeast"/>
        </w:trPr>
        <w:tc>
          <w:tcPr>
            <w:tcW w:w="10440" w:type="dxa"/>
            <w:gridSpan w:val="8"/>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5"/>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Layout w:type="fixed"/>
          <w:tblCellMar>
            <w:top w:w="15" w:type="dxa"/>
            <w:left w:w="15" w:type="dxa"/>
            <w:bottom w:w="15" w:type="dxa"/>
            <w:right w:w="15" w:type="dxa"/>
          </w:tblCellMar>
        </w:tblPrEx>
        <w:trPr>
          <w:trHeight w:val="270"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2"/>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300.0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2,108.0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109.8</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225.3</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190.2</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48.7</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32.8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753.4</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22.7</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24.9</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477.8</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805.3</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96.4</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154.4</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19.1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0.7</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504.0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68.9</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18.3</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354.0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77" w:hRule="atLeast"/>
        </w:trPr>
        <w:tc>
          <w:tcPr>
            <w:tcW w:w="10485"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5"/>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485" w:type="dxa"/>
            <w:gridSpan w:val="22"/>
            <w:shd w:val="clear" w:color="auto" w:fill="auto"/>
            <w:vAlign w:val="bottom"/>
          </w:tcPr>
          <w:p>
            <w:pPr>
              <w:keepNext w:val="0"/>
              <w:keepLines w:val="0"/>
              <w:widowControl/>
              <w:suppressLineNumbers w:val="0"/>
              <w:jc w:val="center"/>
              <w:textAlignment w:val="bottom"/>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3" w:type="dxa"/>
            <w:gridSpan w:val="2"/>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87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0.7</w:t>
            </w:r>
          </w:p>
        </w:tc>
        <w:tc>
          <w:tcPr>
            <w:tcW w:w="923"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0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0.7</w:t>
            </w:r>
          </w:p>
        </w:tc>
        <w:tc>
          <w:tcPr>
            <w:tcW w:w="9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2"/>
                <w:szCs w:val="22"/>
                <w:u w:val="none"/>
                <w:lang w:val="en-US" w:eastAsia="zh-CN" w:bidi="ar"/>
              </w:rPr>
              <w:t>0.7</w:t>
            </w:r>
          </w:p>
        </w:tc>
        <w:tc>
          <w:tcPr>
            <w:tcW w:w="923"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2"/>
                <w:szCs w:val="22"/>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85" w:type="dxa"/>
            <w:gridSpan w:val="2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注：本表反映部门本年度“三公”经费支出预决算情况。其中，2016年度预算数为“三公”经费年初预算数，决算数是包括当年一般公共预算财政拨款和以前年度结转资金安排的实际支出。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5"/>
        <w:tblW w:w="10500" w:type="dxa"/>
        <w:tblInd w:w="-902" w:type="dxa"/>
        <w:tblLayout w:type="fixed"/>
        <w:tblCellMar>
          <w:top w:w="15" w:type="dxa"/>
          <w:left w:w="15" w:type="dxa"/>
          <w:bottom w:w="15" w:type="dxa"/>
          <w:right w:w="15" w:type="dxa"/>
        </w:tblCellMar>
      </w:tblPr>
      <w:tblGrid>
        <w:gridCol w:w="705"/>
        <w:gridCol w:w="153"/>
        <w:gridCol w:w="733"/>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3"/>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3"/>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Layout w:type="fixed"/>
          <w:tblCellMar>
            <w:top w:w="15" w:type="dxa"/>
            <w:left w:w="15" w:type="dxa"/>
            <w:bottom w:w="15" w:type="dxa"/>
            <w:right w:w="15" w:type="dxa"/>
          </w:tblCellMar>
        </w:tblPrEx>
        <w:trPr>
          <w:trHeight w:val="270" w:hRule="atLeast"/>
        </w:trPr>
        <w:tc>
          <w:tcPr>
            <w:tcW w:w="1591" w:type="dxa"/>
            <w:gridSpan w:val="3"/>
            <w:shd w:val="clear" w:color="auto" w:fill="auto"/>
            <w:vAlign w:val="center"/>
          </w:tcPr>
          <w:p>
            <w:pPr>
              <w:rPr>
                <w:rFonts w:ascii="宋体" w:hAnsi="宋体" w:eastAsia="宋体" w:cs="宋体"/>
                <w:color w:val="000000"/>
                <w:sz w:val="16"/>
                <w:szCs w:val="16"/>
              </w:rPr>
            </w:pPr>
          </w:p>
        </w:tc>
        <w:tc>
          <w:tcPr>
            <w:tcW w:w="1436" w:type="dxa"/>
            <w:shd w:val="clear" w:color="auto" w:fill="auto"/>
            <w:vAlign w:val="center"/>
          </w:tcPr>
          <w:p>
            <w:pPr>
              <w:rPr>
                <w:rFonts w:ascii="宋体" w:hAnsi="宋体" w:eastAsia="宋体" w:cs="宋体"/>
                <w:color w:val="000000"/>
                <w:sz w:val="16"/>
                <w:szCs w:val="16"/>
              </w:rPr>
            </w:pPr>
          </w:p>
        </w:tc>
        <w:tc>
          <w:tcPr>
            <w:tcW w:w="1166" w:type="dxa"/>
            <w:shd w:val="clear" w:color="auto" w:fill="auto"/>
            <w:vAlign w:val="center"/>
          </w:tcPr>
          <w:p>
            <w:pPr>
              <w:rPr>
                <w:rFonts w:ascii="宋体" w:hAnsi="宋体" w:eastAsia="宋体" w:cs="宋体"/>
                <w:color w:val="000000"/>
                <w:sz w:val="16"/>
                <w:szCs w:val="16"/>
              </w:rPr>
            </w:pPr>
          </w:p>
        </w:tc>
        <w:tc>
          <w:tcPr>
            <w:tcW w:w="1297" w:type="dxa"/>
            <w:gridSpan w:val="2"/>
            <w:shd w:val="clear" w:color="auto" w:fill="auto"/>
            <w:vAlign w:val="center"/>
          </w:tcPr>
          <w:p>
            <w:pPr>
              <w:rPr>
                <w:rFonts w:ascii="宋体" w:hAnsi="宋体" w:eastAsia="宋体" w:cs="宋体"/>
                <w:color w:val="000000"/>
                <w:sz w:val="16"/>
                <w:szCs w:val="16"/>
              </w:rPr>
            </w:pPr>
          </w:p>
        </w:tc>
        <w:tc>
          <w:tcPr>
            <w:tcW w:w="751" w:type="dxa"/>
            <w:shd w:val="clear" w:color="auto" w:fill="auto"/>
            <w:vAlign w:val="center"/>
          </w:tcPr>
          <w:p>
            <w:pPr>
              <w:rPr>
                <w:rFonts w:ascii="宋体" w:hAnsi="宋体" w:eastAsia="宋体" w:cs="宋体"/>
                <w:color w:val="000000"/>
                <w:sz w:val="16"/>
                <w:szCs w:val="16"/>
              </w:rPr>
            </w:pPr>
          </w:p>
        </w:tc>
        <w:tc>
          <w:tcPr>
            <w:tcW w:w="999" w:type="dxa"/>
            <w:gridSpan w:val="2"/>
            <w:shd w:val="clear" w:color="auto" w:fill="auto"/>
            <w:vAlign w:val="center"/>
          </w:tcPr>
          <w:p>
            <w:pPr>
              <w:rPr>
                <w:rFonts w:ascii="宋体" w:hAnsi="宋体" w:eastAsia="宋体" w:cs="宋体"/>
                <w:color w:val="000000"/>
                <w:sz w:val="16"/>
                <w:szCs w:val="16"/>
              </w:rPr>
            </w:pPr>
          </w:p>
        </w:tc>
        <w:tc>
          <w:tcPr>
            <w:tcW w:w="2000" w:type="dxa"/>
            <w:gridSpan w:val="2"/>
            <w:shd w:val="clear" w:color="auto" w:fill="auto"/>
            <w:vAlign w:val="center"/>
          </w:tcPr>
          <w:p>
            <w:pPr>
              <w:rPr>
                <w:rFonts w:ascii="宋体" w:hAnsi="宋体" w:eastAsia="宋体" w:cs="宋体"/>
                <w:color w:val="000000"/>
                <w:sz w:val="16"/>
                <w:szCs w:val="16"/>
              </w:rPr>
            </w:pPr>
          </w:p>
        </w:tc>
        <w:tc>
          <w:tcPr>
            <w:tcW w:w="1260"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3027"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1,760.4</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1,760.4</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1,760.4</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858"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212</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城乡社区支出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1,760.4</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1,760.4</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2"/>
                <w:szCs w:val="22"/>
                <w:u w:val="none"/>
                <w:lang w:val="en-US" w:eastAsia="zh-CN" w:bidi="ar"/>
              </w:rPr>
              <w:t>1,760.4</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858"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21208</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1,760.4</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1,760.4</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1,760.4</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858"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2120801</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96.4</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96.4</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96.4</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858"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2120803</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 xml:space="preserve">  城市建设支出</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1,664.0</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1,664.0</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2"/>
                <w:szCs w:val="22"/>
                <w:u w:val="none"/>
                <w:lang w:val="en-US" w:eastAsia="zh-CN" w:bidi="ar"/>
              </w:rPr>
              <w:t>1,664.0</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858"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858"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858"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858"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858"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858"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858"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858"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16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3"/>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3"/>
            <w:shd w:val="clear" w:color="auto" w:fill="auto"/>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i w:val="0"/>
                <w:color w:val="FF0000"/>
                <w:kern w:val="0"/>
                <w:sz w:val="20"/>
                <w:szCs w:val="20"/>
                <w:u w:val="none"/>
                <w:lang w:val="en-US" w:eastAsia="zh-CN" w:bidi="ar"/>
              </w:rPr>
              <w:t>（该报表全部数据为零时）</w:t>
            </w:r>
            <w:r>
              <w:rPr>
                <w:rFonts w:hint="eastAsia" w:ascii="宋体" w:hAnsi="宋体" w:eastAsia="宋体" w:cs="宋体"/>
                <w:b/>
                <w:color w:val="FF0000"/>
                <w:kern w:val="0"/>
                <w:sz w:val="20"/>
                <w:szCs w:val="20"/>
              </w:rPr>
              <w:t>说明：xx</w:t>
            </w:r>
            <w:r>
              <w:rPr>
                <w:rFonts w:hint="eastAsia" w:ascii="宋体" w:hAnsi="宋体" w:eastAsia="宋体" w:cs="宋体"/>
                <w:b/>
                <w:color w:val="FF0000"/>
                <w:kern w:val="0"/>
                <w:sz w:val="20"/>
                <w:szCs w:val="20"/>
                <w:lang w:eastAsia="zh-CN"/>
              </w:rPr>
              <w:t>局</w:t>
            </w:r>
            <w:r>
              <w:rPr>
                <w:rFonts w:hint="eastAsia" w:ascii="宋体" w:hAnsi="宋体" w:eastAsia="宋体" w:cs="宋体"/>
                <w:b/>
                <w:color w:val="FF0000"/>
                <w:kern w:val="0"/>
                <w:sz w:val="20"/>
                <w:szCs w:val="20"/>
              </w:rPr>
              <w:t>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hint="eastAsia" w:ascii="隶书" w:hAnsi="隶书" w:eastAsia="隶书" w:cs="隶书"/>
          <w:sz w:val="48"/>
          <w:szCs w:val="48"/>
          <w:lang w:eastAsia="zh-CN"/>
        </w:rPr>
      </w:pPr>
      <w:r>
        <w:rPr>
          <w:rFonts w:hint="eastAsia" w:ascii="隶书" w:hAnsi="隶书" w:eastAsia="隶书" w:cs="隶书"/>
          <w:sz w:val="48"/>
          <w:szCs w:val="48"/>
          <w:lang w:eastAsia="zh-CN"/>
        </w:rPr>
        <w:t>孙口镇人民政府</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2016年度部门决算情况说明</w:t>
      </w: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2016年度收入总计</w:t>
      </w:r>
      <w:r>
        <w:rPr>
          <w:rFonts w:hint="eastAsia" w:ascii="仿宋_GB2312" w:hAnsi="宋体" w:eastAsia="仿宋_GB2312" w:cs="Courier New"/>
          <w:sz w:val="32"/>
          <w:szCs w:val="32"/>
          <w:lang w:val="en-US" w:eastAsia="zh-CN"/>
        </w:rPr>
        <w:t>4938.9</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4938.9</w:t>
      </w:r>
      <w:r>
        <w:rPr>
          <w:rFonts w:hint="eastAsia" w:ascii="仿宋_GB2312" w:hAnsi="宋体" w:eastAsia="仿宋_GB2312" w:cs="Courier New"/>
          <w:sz w:val="32"/>
          <w:szCs w:val="32"/>
        </w:rPr>
        <w:t>万元，与2015年相比，收、支总计各增加</w:t>
      </w:r>
      <w:r>
        <w:rPr>
          <w:rFonts w:hint="eastAsia" w:ascii="仿宋_GB2312" w:hAnsi="宋体" w:eastAsia="仿宋_GB2312" w:cs="Courier New"/>
          <w:sz w:val="32"/>
          <w:szCs w:val="32"/>
          <w:lang w:val="en-US" w:eastAsia="zh-CN"/>
        </w:rPr>
        <w:t>1275.61</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26</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图1：收、支决算总计变动情况</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（单位：万元）</w:t>
      </w:r>
    </w:p>
    <w:p>
      <w:pPr>
        <w:adjustRightInd w:val="0"/>
        <w:snapToGrid w:val="0"/>
        <w:spacing w:line="360" w:lineRule="auto"/>
        <w:rPr>
          <w:rFonts w:ascii="仿宋_GB2312" w:hAnsi="宋体" w:eastAsia="仿宋_GB2312" w:cs="Courier New"/>
          <w:sz w:val="32"/>
          <w:szCs w:val="32"/>
        </w:rPr>
      </w:pPr>
    </w:p>
    <w:p>
      <w:pPr>
        <w:adjustRightInd w:val="0"/>
        <w:snapToGrid w:val="0"/>
        <w:spacing w:line="360" w:lineRule="auto"/>
        <w:rPr>
          <w:rFonts w:ascii="仿宋_GB2312" w:hAnsi="宋体" w:eastAsia="仿宋_GB2312" w:cs="Courier New"/>
          <w:sz w:val="32"/>
          <w:szCs w:val="32"/>
        </w:rPr>
      </w:pPr>
    </w:p>
    <w:p>
      <w:pPr>
        <w:adjustRightInd w:val="0"/>
        <w:snapToGrid w:val="0"/>
        <w:spacing w:line="360" w:lineRule="auto"/>
        <w:rPr>
          <w:rFonts w:ascii="仿宋_GB2312" w:hAnsi="宋体" w:eastAsia="仿宋_GB2312" w:cs="Courier New"/>
          <w:sz w:val="32"/>
          <w:szCs w:val="32"/>
        </w:rPr>
      </w:pP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4938.9</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4938.9</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ascii="仿宋_GB2312" w:hAnsi="Times New Roman" w:eastAsia="仿宋_GB2312"/>
          <w:sz w:val="32"/>
          <w:szCs w:val="32"/>
        </w:rPr>
        <w:t>%</w:t>
      </w:r>
      <w:r>
        <w:rPr>
          <w:rFonts w:hint="eastAsia" w:ascii="仿宋_GB2312" w:hAnsi="Times New Roman" w:eastAsia="仿宋_GB2312"/>
          <w:sz w:val="32"/>
          <w:szCs w:val="32"/>
        </w:rPr>
        <w:t>；事业收入</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0</w:t>
      </w:r>
      <w:r>
        <w:rPr>
          <w:rFonts w:ascii="仿宋_GB2312" w:hAnsi="Times New Roman" w:eastAsia="仿宋_GB2312"/>
          <w:sz w:val="32"/>
          <w:szCs w:val="32"/>
        </w:rPr>
        <w:t>%</w:t>
      </w:r>
      <w:r>
        <w:rPr>
          <w:rFonts w:hint="eastAsia" w:ascii="仿宋_GB2312" w:hAnsi="Times New Roman" w:eastAsia="仿宋_GB2312"/>
          <w:sz w:val="32"/>
          <w:szCs w:val="32"/>
        </w:rPr>
        <w:t>；经营收入</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0</w:t>
      </w:r>
      <w:r>
        <w:rPr>
          <w:rFonts w:ascii="仿宋_GB2312" w:hAnsi="Times New Roman" w:eastAsia="仿宋_GB2312"/>
          <w:sz w:val="32"/>
          <w:szCs w:val="32"/>
        </w:rPr>
        <w:t>%</w:t>
      </w:r>
      <w:r>
        <w:rPr>
          <w:rFonts w:hint="eastAsia" w:ascii="仿宋_GB2312" w:hAnsi="Times New Roman" w:eastAsia="仿宋_GB2312"/>
          <w:sz w:val="32"/>
          <w:szCs w:val="32"/>
        </w:rPr>
        <w:t>；其他收入</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0</w:t>
      </w:r>
      <w:r>
        <w:rPr>
          <w:rFonts w:ascii="仿宋_GB2312" w:hAnsi="Times New Roman" w:eastAsia="仿宋_GB2312"/>
          <w:sz w:val="32"/>
          <w:szCs w:val="32"/>
        </w:rPr>
        <w:t>%</w:t>
      </w:r>
      <w:r>
        <w:rPr>
          <w:rFonts w:hint="eastAsia" w:ascii="仿宋_GB2312" w:hAnsi="Times New Roman" w:eastAsia="仿宋_GB2312"/>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图2：收入决算</w:t>
      </w: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2016年度支出</w:t>
      </w:r>
      <w:r>
        <w:rPr>
          <w:rFonts w:hint="eastAsia" w:ascii="仿宋_GB2312" w:hAnsi="宋体" w:eastAsia="仿宋_GB2312" w:cs="Courier New"/>
          <w:sz w:val="32"/>
          <w:szCs w:val="32"/>
          <w:lang w:val="en-US" w:eastAsia="zh-CN"/>
        </w:rPr>
        <w:t>4938.9</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3161.3</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64</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hAnsi="宋体" w:eastAsia="仿宋_GB2312" w:cs="Courier New"/>
          <w:sz w:val="32"/>
          <w:szCs w:val="32"/>
          <w:lang w:val="en-US" w:eastAsia="zh-CN"/>
        </w:rPr>
        <w:t>1777.6</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36</w:t>
      </w:r>
      <w:r>
        <w:rPr>
          <w:rFonts w:hint="eastAsia" w:ascii="仿宋_GB2312" w:hAnsi="宋体" w:eastAsia="仿宋_GB2312" w:cs="Courier New"/>
          <w:sz w:val="32"/>
          <w:szCs w:val="32"/>
        </w:rPr>
        <w:t>%；经营支出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图3：支出决算</w:t>
      </w: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2016年财政拨款收支总决算</w:t>
      </w:r>
      <w:r>
        <w:rPr>
          <w:rFonts w:hint="eastAsia" w:ascii="仿宋_GB2312" w:hAnsi="宋体" w:eastAsia="仿宋_GB2312" w:cs="Courier New"/>
          <w:sz w:val="32"/>
          <w:szCs w:val="32"/>
          <w:lang w:val="en-US" w:eastAsia="zh-CN"/>
        </w:rPr>
        <w:t>4938.9</w:t>
      </w:r>
      <w:r>
        <w:rPr>
          <w:rFonts w:hint="eastAsia" w:ascii="仿宋_GB2312" w:hAnsi="宋体" w:eastAsia="仿宋_GB2312" w:cs="Courier New"/>
          <w:sz w:val="32"/>
          <w:szCs w:val="32"/>
        </w:rPr>
        <w:t>万元。与2015年相比，财政拨款收、支总计各增加</w:t>
      </w:r>
      <w:r>
        <w:rPr>
          <w:rFonts w:hint="eastAsia" w:ascii="仿宋_GB2312" w:hAnsi="宋体" w:eastAsia="仿宋_GB2312" w:cs="Courier New"/>
          <w:sz w:val="32"/>
          <w:szCs w:val="32"/>
          <w:lang w:val="en-US" w:eastAsia="zh-CN"/>
        </w:rPr>
        <w:t>1275.61</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26</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图4：财政拨款收、支决算总计变动情况</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（单位：万元）</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7"/>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2016年一般公共预算财政拨款支出</w:t>
      </w:r>
      <w:r>
        <w:rPr>
          <w:rFonts w:hint="eastAsia" w:ascii="仿宋_GB2312" w:hAnsi="宋体" w:eastAsia="仿宋_GB2312" w:cs="Courier New"/>
          <w:sz w:val="32"/>
          <w:szCs w:val="32"/>
          <w:lang w:val="en-US" w:eastAsia="zh-CN"/>
        </w:rPr>
        <w:t>4938.9</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%。与2015年相比，一般公共预算财政拨款支出增加</w:t>
      </w:r>
      <w:r>
        <w:rPr>
          <w:rFonts w:hint="eastAsia" w:ascii="仿宋_GB2312" w:hAnsi="宋体" w:eastAsia="仿宋_GB2312" w:cs="Courier New"/>
          <w:sz w:val="32"/>
          <w:szCs w:val="32"/>
          <w:lang w:val="en-US" w:eastAsia="zh-CN"/>
        </w:rPr>
        <w:t>1275.61</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26</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图5：财政拨款支出决算变动情况</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（单位：万元）</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7"/>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w:t>
      </w:r>
      <w:r>
        <w:rPr>
          <w:rFonts w:hint="eastAsia" w:ascii="仿宋_GB2312" w:hAnsi="宋体" w:eastAsia="仿宋_GB2312" w:cs="Courier New"/>
          <w:sz w:val="32"/>
          <w:szCs w:val="32"/>
          <w:lang w:val="en-US" w:eastAsia="zh-CN"/>
        </w:rPr>
        <w:t>4938.9</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rPr>
        <w:t>一般公共服务（类）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544</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11</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科学技术</w:t>
      </w:r>
      <w:r>
        <w:rPr>
          <w:rFonts w:hint="eastAsia" w:ascii="仿宋_GB2312" w:hAnsi="宋体" w:eastAsia="仿宋_GB2312" w:cs="Courier New"/>
          <w:b/>
          <w:bCs/>
          <w:sz w:val="32"/>
          <w:szCs w:val="32"/>
        </w:rPr>
        <w:t>（类）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220.4</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4.5</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文化体育与传媒（类）支出</w:t>
      </w:r>
      <w:r>
        <w:rPr>
          <w:rFonts w:hint="eastAsia" w:ascii="仿宋_GB2312" w:hAnsi="宋体" w:eastAsia="仿宋_GB2312" w:cs="Courier New"/>
          <w:sz w:val="32"/>
          <w:szCs w:val="32"/>
          <w:lang w:val="en-US" w:eastAsia="zh-CN"/>
        </w:rPr>
        <w:t>34.9</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，占0.7%;社会保障与就业（类）支出305.1</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，占6.2%；医疗卫生与计划生育（类）支出129.1</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，占2.6%；节能环保（类）支出40.4</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，占0.8%；城乡社区（类）支出2863</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，占</w:t>
      </w:r>
      <w:r>
        <w:rPr>
          <w:rFonts w:hint="eastAsia" w:ascii="仿宋_GB2312" w:hAnsi="宋体" w:eastAsia="仿宋_GB2312" w:cs="Courier New"/>
          <w:sz w:val="32"/>
          <w:szCs w:val="32"/>
          <w:lang w:val="en-US" w:eastAsia="zh-CN"/>
        </w:rPr>
        <w:t>58%；农林水（类）支出802</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，占</w:t>
      </w:r>
      <w:r>
        <w:rPr>
          <w:rFonts w:hint="eastAsia" w:ascii="仿宋_GB2312" w:hAnsi="宋体" w:eastAsia="仿宋_GB2312" w:cs="Courier New"/>
          <w:sz w:val="32"/>
          <w:szCs w:val="32"/>
          <w:lang w:val="en-US" w:eastAsia="zh-CN"/>
        </w:rPr>
        <w:t>16.2%</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图6：财政拨款支出决算结构</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7"/>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2016年度一般公共预算财政拨款支出年初预算为</w:t>
      </w:r>
      <w:r>
        <w:rPr>
          <w:rFonts w:hint="eastAsia" w:ascii="仿宋_GB2312" w:hAnsi="宋体" w:eastAsia="仿宋_GB2312" w:cs="Courier New"/>
          <w:sz w:val="32"/>
          <w:szCs w:val="32"/>
          <w:lang w:val="en-US" w:eastAsia="zh-CN"/>
        </w:rPr>
        <w:t>4938.9</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4938.9</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%。决算数大于预算数的主要原因：一是……。其中：</w:t>
      </w:r>
    </w:p>
    <w:p>
      <w:pPr>
        <w:numPr>
          <w:ilvl w:val="0"/>
          <w:numId w:val="8"/>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一般公共服务（类）财政事务（款）行政运行（项）。</w:t>
      </w:r>
      <w:r>
        <w:rPr>
          <w:rFonts w:hint="eastAsia" w:ascii="仿宋_GB2312" w:hAnsi="宋体" w:eastAsia="仿宋_GB2312" w:cs="Courier New"/>
          <w:sz w:val="32"/>
          <w:szCs w:val="32"/>
        </w:rPr>
        <w:t>年初预算为ＸＸ万元，支出决算为ＸＸ万元，完成年初预算的ＸＸ%。决算数大于（小于）预算数的主要原因是……。</w:t>
      </w:r>
    </w:p>
    <w:p>
      <w:pPr>
        <w:numPr>
          <w:ilvl w:val="0"/>
          <w:numId w:val="8"/>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一般公共服务（类）财政事务（款）一般行政管理事务（项）。</w:t>
      </w:r>
      <w:r>
        <w:rPr>
          <w:rFonts w:hint="eastAsia" w:ascii="仿宋_GB2312" w:hAnsi="宋体" w:eastAsia="仿宋_GB2312" w:cs="Courier New"/>
          <w:sz w:val="32"/>
          <w:szCs w:val="32"/>
        </w:rPr>
        <w:t>年初预算为ＸＸ万元，支出决算为ＸＸ万元，完成年初预算的ＸＸ%。决算数大于（小于）预算数的主要原因是……。</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w:t>
      </w: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2016年一般公共预算财政拨款基本支出</w:t>
      </w:r>
      <w:r>
        <w:rPr>
          <w:rFonts w:hint="eastAsia" w:ascii="仿宋_GB2312" w:hAnsi="宋体" w:eastAsia="仿宋_GB2312" w:cs="Courier New"/>
          <w:sz w:val="32"/>
          <w:szCs w:val="32"/>
          <w:lang w:val="en-US" w:eastAsia="zh-CN"/>
        </w:rPr>
        <w:t>3161.3</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1053.3</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w:t>
      </w:r>
      <w:r>
        <w:rPr>
          <w:rFonts w:hint="eastAsia" w:ascii="仿宋_GB2312" w:hAnsi="宋体" w:eastAsia="仿宋_GB2312" w:cs="Courier New"/>
          <w:sz w:val="32"/>
          <w:szCs w:val="32"/>
          <w:lang w:val="en-US" w:eastAsia="zh-CN"/>
        </w:rPr>
        <w:t>109.8</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rPr>
        <w:t>、津贴补贴</w:t>
      </w:r>
      <w:r>
        <w:rPr>
          <w:rFonts w:hint="eastAsia" w:ascii="仿宋_GB2312" w:hAnsi="宋体" w:eastAsia="仿宋_GB2312" w:cs="Courier New"/>
          <w:sz w:val="32"/>
          <w:szCs w:val="32"/>
          <w:lang w:val="en-US" w:eastAsia="zh-CN"/>
        </w:rPr>
        <w:t>190.2</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离休</w:t>
      </w:r>
      <w:r>
        <w:rPr>
          <w:rFonts w:hint="eastAsia" w:ascii="仿宋_GB2312" w:hAnsi="宋体" w:eastAsia="仿宋_GB2312" w:cs="Courier New"/>
          <w:sz w:val="32"/>
          <w:szCs w:val="32"/>
        </w:rPr>
        <w:t>费</w:t>
      </w:r>
      <w:r>
        <w:rPr>
          <w:rFonts w:hint="eastAsia" w:ascii="仿宋_GB2312" w:hAnsi="宋体" w:eastAsia="仿宋_GB2312" w:cs="Courier New"/>
          <w:sz w:val="32"/>
          <w:szCs w:val="32"/>
          <w:lang w:val="en-US" w:eastAsia="zh-CN"/>
        </w:rPr>
        <w:t>24.9</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退休费</w:t>
      </w:r>
      <w:r>
        <w:rPr>
          <w:rFonts w:hint="eastAsia" w:ascii="仿宋_GB2312" w:hAnsi="宋体" w:eastAsia="仿宋_GB2312" w:cs="Courier New"/>
          <w:sz w:val="32"/>
          <w:szCs w:val="32"/>
          <w:lang w:val="en-US" w:eastAsia="zh-CN"/>
        </w:rPr>
        <w:t>477.8</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、抚恤金96.4</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、生活补助154.4</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color w:val="FF0000"/>
          <w:sz w:val="32"/>
          <w:szCs w:val="32"/>
        </w:rPr>
        <w:t>（按照</w:t>
      </w:r>
      <w:r>
        <w:rPr>
          <w:rFonts w:hint="eastAsia" w:ascii="仿宋_GB2312" w:hAnsi="宋体" w:eastAsia="仿宋_GB2312" w:cs="Courier New"/>
          <w:color w:val="FF0000"/>
          <w:sz w:val="32"/>
          <w:szCs w:val="32"/>
          <w:lang w:eastAsia="zh-CN"/>
        </w:rPr>
        <w:t>本单位</w:t>
      </w:r>
      <w:r>
        <w:rPr>
          <w:rFonts w:hint="eastAsia" w:ascii="仿宋_GB2312" w:hAnsi="宋体" w:eastAsia="仿宋_GB2312" w:cs="Courier New"/>
          <w:color w:val="FF0000"/>
          <w:sz w:val="32"/>
          <w:szCs w:val="32"/>
        </w:rPr>
        <w:t>公开06表中“人员经费”所列项目填写）</w:t>
      </w:r>
      <w:r>
        <w:rPr>
          <w:rFonts w:hint="eastAsia" w:ascii="仿宋_GB2312" w:hAnsi="宋体" w:eastAsia="仿宋_GB2312" w:cs="Courier New"/>
          <w:sz w:val="32"/>
          <w:szCs w:val="32"/>
        </w:rPr>
        <w:t>；</w:t>
      </w:r>
      <w:r>
        <w:rPr>
          <w:rFonts w:hint="eastAsia" w:ascii="仿宋_GB2312" w:hAnsi="Times New Roman" w:eastAsia="仿宋_GB2312" w:cs="仿宋_GB2312"/>
          <w:b/>
          <w:spacing w:val="-1"/>
          <w:kern w:val="0"/>
          <w:sz w:val="32"/>
          <w:szCs w:val="32"/>
        </w:rPr>
        <w:t>公用经费</w:t>
      </w:r>
      <w:r>
        <w:rPr>
          <w:rFonts w:hint="eastAsia" w:ascii="仿宋_GB2312" w:hAnsi="Times New Roman" w:eastAsia="仿宋_GB2312" w:cs="仿宋_GB2312"/>
          <w:b/>
          <w:spacing w:val="-1"/>
          <w:kern w:val="0"/>
          <w:sz w:val="32"/>
          <w:szCs w:val="32"/>
          <w:lang w:val="en-US" w:eastAsia="zh-CN"/>
        </w:rPr>
        <w:t>2108</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w:t>
      </w:r>
      <w:r>
        <w:rPr>
          <w:rFonts w:hint="eastAsia" w:ascii="仿宋_GB2312" w:hAnsi="宋体" w:eastAsia="仿宋_GB2312" w:cs="Courier New"/>
          <w:sz w:val="32"/>
          <w:szCs w:val="32"/>
          <w:lang w:val="en-US" w:eastAsia="zh-CN"/>
        </w:rPr>
        <w:t>225.3</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、印刷费48.7</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、电费32.8</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、邮电费3</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、差旅费22.7</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、维修费805.3</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、租赁费2.4</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、会议费2.8</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、培训费19.1</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、公务接待费0.7</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、劳务费504</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、委托业务费68.9</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、其他交通费用18.3</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sz w:val="32"/>
          <w:szCs w:val="32"/>
          <w:lang w:val="en-US" w:eastAsia="zh-CN"/>
        </w:rPr>
        <w:t>、其他商品和服务支出354</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color w:val="FF0000"/>
          <w:sz w:val="32"/>
          <w:szCs w:val="32"/>
        </w:rPr>
        <w:t>（按照</w:t>
      </w:r>
      <w:r>
        <w:rPr>
          <w:rFonts w:hint="eastAsia" w:ascii="仿宋_GB2312" w:hAnsi="宋体" w:eastAsia="仿宋_GB2312" w:cs="Courier New"/>
          <w:color w:val="FF0000"/>
          <w:sz w:val="32"/>
          <w:szCs w:val="32"/>
          <w:lang w:eastAsia="zh-CN"/>
        </w:rPr>
        <w:t>本单位</w:t>
      </w:r>
      <w:r>
        <w:rPr>
          <w:rFonts w:hint="eastAsia" w:ascii="仿宋_GB2312" w:hAnsi="宋体" w:eastAsia="仿宋_GB2312" w:cs="Courier New"/>
          <w:color w:val="FF0000"/>
          <w:sz w:val="32"/>
          <w:szCs w:val="32"/>
        </w:rPr>
        <w:t>公开06表中“公用经费”所列项目填写）</w:t>
      </w:r>
      <w:r>
        <w:rPr>
          <w:rFonts w:hint="eastAsia" w:ascii="仿宋_GB2312" w:hAnsi="宋体" w:eastAsia="仿宋_GB2312" w:cs="Courier New"/>
          <w:sz w:val="32"/>
          <w:szCs w:val="32"/>
        </w:rPr>
        <w:t>。</w:t>
      </w: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2016年度“三公”经费财政拨款支出预算为</w:t>
      </w:r>
      <w:r>
        <w:rPr>
          <w:rFonts w:hint="eastAsia" w:ascii="仿宋_GB2312" w:hAnsi="宋体" w:eastAsia="仿宋_GB2312" w:cs="Courier New"/>
          <w:sz w:val="32"/>
          <w:szCs w:val="32"/>
          <w:lang w:val="en-US" w:eastAsia="zh-CN"/>
        </w:rPr>
        <w:t>0.7</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0.7</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%，其中：因公出国（境）费支出决算为ＸＸ万元，完成预算的ＸＸ%；公务用车购置及运行费支出决算为ＸＸ万元，完成预算的ＸＸ%；公务接待费支出决算为</w:t>
      </w:r>
      <w:r>
        <w:rPr>
          <w:rFonts w:hint="eastAsia" w:ascii="仿宋_GB2312" w:hAnsi="宋体" w:eastAsia="仿宋_GB2312" w:cs="Courier New"/>
          <w:sz w:val="32"/>
          <w:szCs w:val="32"/>
          <w:lang w:val="en-US" w:eastAsia="zh-CN"/>
        </w:rPr>
        <w:t>0.7</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%。2016年度“三公”经费支出决算数大于（小于）预算数的主要原因是……。</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2016年度“三公”经费财政拨款支出决算数比2015年增加</w:t>
      </w:r>
      <w:r>
        <w:rPr>
          <w:rFonts w:hint="eastAsia" w:ascii="仿宋_GB2312" w:hAnsi="宋体" w:eastAsia="仿宋_GB2312" w:cs="Courier New"/>
          <w:sz w:val="32"/>
          <w:szCs w:val="32"/>
          <w:lang w:val="en-US" w:eastAsia="zh-CN"/>
        </w:rPr>
        <w:t>0.7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其中：因公出国（境）费支出决算增加（减少）ＸＸ万元，增长（下降）ＸＸ%；公务用车购置及运行费支出决算增加（减少）ＸＸ万元，增长（下降）ＸＸ%；公务接待费支出决算增加</w:t>
      </w:r>
      <w:r>
        <w:rPr>
          <w:rFonts w:hint="eastAsia" w:ascii="仿宋_GB2312" w:hAnsi="宋体" w:eastAsia="仿宋_GB2312" w:cs="Courier New"/>
          <w:sz w:val="32"/>
          <w:szCs w:val="32"/>
          <w:lang w:val="en-US" w:eastAsia="zh-CN"/>
        </w:rPr>
        <w:t>0.7</w:t>
      </w:r>
      <w:r>
        <w:rPr>
          <w:rFonts w:hint="eastAsia" w:ascii="仿宋_GB2312" w:hAnsi="宋体" w:eastAsia="仿宋_GB2312" w:cs="Courier New"/>
          <w:sz w:val="32"/>
          <w:szCs w:val="32"/>
        </w:rPr>
        <w:t>万元。因公出国（境）费支出增加（减少）的主要原因是……；公务用车购置及运行费支出增加（减少）的主要原因是……；公务接待费支出增加的主要原因是</w:t>
      </w:r>
      <w:r>
        <w:rPr>
          <w:rFonts w:hint="eastAsia" w:ascii="仿宋_GB2312" w:hAnsi="宋体" w:eastAsia="仿宋_GB2312" w:cs="Courier New"/>
          <w:sz w:val="32"/>
          <w:szCs w:val="32"/>
          <w:lang w:eastAsia="zh-CN"/>
        </w:rPr>
        <w:t>会议接待</w:t>
      </w:r>
      <w:r>
        <w:rPr>
          <w:rFonts w:hint="eastAsia" w:ascii="仿宋_GB2312" w:hAnsi="宋体" w:eastAsia="仿宋_GB2312" w:cs="Courier New"/>
          <w:sz w:val="32"/>
          <w:szCs w:val="32"/>
        </w:rPr>
        <w:t>。</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2016年度“三公”经费财政拨款支出决算中，因公出国（境）费支出决算ＸＸ万元，占ＸＸ%；公务用车购置及运行费支出决算ＸＸ万元，占ＸＸ%；公务接待费支出决算</w:t>
      </w:r>
      <w:r>
        <w:rPr>
          <w:rFonts w:hint="eastAsia" w:ascii="仿宋_GB2312" w:hAnsi="宋体" w:eastAsia="仿宋_GB2312" w:cs="Courier New"/>
          <w:sz w:val="32"/>
          <w:szCs w:val="32"/>
          <w:lang w:val="en-US" w:eastAsia="zh-CN"/>
        </w:rPr>
        <w:t>0.7</w:t>
      </w:r>
      <w:r>
        <w:rPr>
          <w:rFonts w:hint="eastAsia" w:ascii="仿宋_GB2312" w:hAnsi="宋体" w:eastAsia="仿宋_GB2312" w:cs="Courier New"/>
          <w:sz w:val="32"/>
          <w:szCs w:val="32"/>
        </w:rPr>
        <w:t>万元。具体情况如下：</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图7：“三公”经费财政拨款支出结构</w:t>
      </w:r>
    </w:p>
    <w:p>
      <w:pPr>
        <w:kinsoku w:val="0"/>
        <w:overflowPunct w:val="0"/>
        <w:autoSpaceDE w:val="0"/>
        <w:autoSpaceDN w:val="0"/>
        <w:adjustRightInd w:val="0"/>
        <w:snapToGrid w:val="0"/>
        <w:spacing w:line="360" w:lineRule="auto"/>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numPr>
          <w:ilvl w:val="0"/>
          <w:numId w:val="10"/>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因公出国（境）费</w:t>
      </w:r>
      <w:r>
        <w:rPr>
          <w:rFonts w:hint="eastAsia" w:ascii="仿宋_GB2312" w:hAnsi="宋体" w:eastAsia="仿宋_GB2312" w:cs="Courier New"/>
          <w:sz w:val="32"/>
          <w:szCs w:val="32"/>
        </w:rPr>
        <w:t>支出ＸＸ万元。全年安排</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机关、ＸＸ和ＸＸ单位因公出国（境）团组ＸＸ个，累计ＸＸ人次。开支内容包括：</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ＸＸ会议</w:t>
      </w:r>
      <w:r>
        <w:rPr>
          <w:rFonts w:hint="eastAsia" w:ascii="仿宋_GB2312" w:hAnsi="宋体" w:eastAsia="仿宋_GB2312" w:cs="Courier New"/>
          <w:sz w:val="32"/>
          <w:szCs w:val="32"/>
        </w:rPr>
        <w:t>支出ＸＸ万元，主要用于参加以下国际会议：ＸＸ、ＸＸ、ＸＸ等。</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出国谈判、工作磋商</w:t>
      </w:r>
      <w:r>
        <w:rPr>
          <w:rFonts w:hint="eastAsia" w:ascii="仿宋_GB2312" w:hAnsi="宋体" w:eastAsia="仿宋_GB2312" w:cs="Courier New"/>
          <w:sz w:val="32"/>
          <w:szCs w:val="32"/>
        </w:rPr>
        <w:t>支出ＸＸ万元，主要用于参加以下谈判和磋商：ＸＸ、ＸＸ、ＸＸ等。</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境外业务培训</w:t>
      </w:r>
      <w:r>
        <w:rPr>
          <w:rFonts w:hint="eastAsia" w:ascii="仿宋_GB2312" w:hAnsi="宋体" w:eastAsia="仿宋_GB2312" w:cs="Courier New"/>
          <w:sz w:val="32"/>
          <w:szCs w:val="32"/>
        </w:rPr>
        <w:t>支出支出ＸＸ万元，主要用于为提高财政管理水平而举办的公共财政支出结构比较研究、社会保障政策、ＸＸ、ＸＸ等。</w:t>
      </w:r>
    </w:p>
    <w:p>
      <w:pPr>
        <w:numPr>
          <w:ilvl w:val="0"/>
          <w:numId w:val="10"/>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公务用车购置及运行费</w:t>
      </w:r>
      <w:r>
        <w:rPr>
          <w:rFonts w:hint="eastAsia" w:ascii="仿宋_GB2312" w:hAnsi="宋体" w:eastAsia="仿宋_GB2312" w:cs="Courier New"/>
          <w:sz w:val="32"/>
          <w:szCs w:val="32"/>
        </w:rPr>
        <w:t>支出ＸＸ万元。其中：</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highlight w:val="yellow"/>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支出为ＸＸ万元。主要用于……。</w:t>
      </w:r>
      <w:r>
        <w:rPr>
          <w:rFonts w:hint="eastAsia" w:ascii="仿宋_GB2312" w:hAnsi="宋体" w:eastAsia="仿宋_GB2312" w:cs="Courier New"/>
          <w:sz w:val="32"/>
          <w:szCs w:val="32"/>
          <w:highlight w:val="yellow"/>
        </w:rPr>
        <w:t>（</w:t>
      </w:r>
      <w:r>
        <w:rPr>
          <w:rFonts w:hint="eastAsia" w:ascii="仿宋_GB2312" w:hAnsi="宋体" w:eastAsia="仿宋_GB2312" w:cs="Courier New"/>
          <w:sz w:val="32"/>
          <w:szCs w:val="32"/>
          <w:highlight w:val="yellow"/>
          <w:lang w:eastAsia="zh-CN"/>
        </w:rPr>
        <w:t>当年没有购置的，写：</w:t>
      </w:r>
      <w:r>
        <w:rPr>
          <w:rFonts w:hint="eastAsia" w:ascii="仿宋_GB2312" w:hAnsi="宋体" w:eastAsia="仿宋_GB2312" w:cs="Courier New"/>
          <w:sz w:val="32"/>
          <w:szCs w:val="32"/>
          <w:highlight w:val="yellow"/>
        </w:rPr>
        <w:t>公务用车购置支出为0</w:t>
      </w:r>
      <w:r>
        <w:rPr>
          <w:rFonts w:hint="eastAsia" w:ascii="仿宋_GB2312" w:hAnsi="宋体" w:eastAsia="仿宋_GB2312" w:cs="Courier New"/>
          <w:sz w:val="32"/>
          <w:szCs w:val="32"/>
          <w:highlight w:val="yellow"/>
          <w:lang w:eastAsia="zh-CN"/>
        </w:rPr>
        <w:t>万元</w:t>
      </w:r>
      <w:r>
        <w:rPr>
          <w:rFonts w:hint="eastAsia" w:ascii="仿宋_GB2312" w:hAnsi="宋体" w:eastAsia="仿宋_GB2312" w:cs="Courier New"/>
          <w:sz w:val="32"/>
          <w:szCs w:val="32"/>
          <w:highlight w:val="yellow"/>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支出ＸＸ万元。主要用于……。2016年期末，ＸＸ</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机关、ＸＸ和其他</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属单位开支财政拨款的公务用车保有量为ＸＸ量。</w:t>
      </w:r>
    </w:p>
    <w:p>
      <w:pPr>
        <w:numPr>
          <w:ilvl w:val="0"/>
          <w:numId w:val="10"/>
        </w:num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r>
        <w:rPr>
          <w:rFonts w:hint="eastAsia" w:ascii="仿宋_GB2312" w:hAnsi="宋体" w:eastAsia="仿宋_GB2312" w:cs="Courier New"/>
          <w:b/>
          <w:bCs/>
          <w:sz w:val="32"/>
          <w:szCs w:val="32"/>
        </w:rPr>
        <w:t>公务接待费支出</w:t>
      </w:r>
      <w:r>
        <w:rPr>
          <w:rFonts w:hint="eastAsia" w:ascii="仿宋_GB2312" w:hAnsi="宋体" w:eastAsia="仿宋_GB2312" w:cs="Courier New"/>
          <w:b/>
          <w:bCs/>
          <w:sz w:val="32"/>
          <w:szCs w:val="32"/>
          <w:lang w:val="en-US" w:eastAsia="zh-CN"/>
        </w:rPr>
        <w:t>0.7</w:t>
      </w:r>
      <w:r>
        <w:rPr>
          <w:rFonts w:hint="eastAsia" w:ascii="仿宋_GB2312" w:hAnsi="宋体" w:eastAsia="仿宋_GB2312" w:cs="Courier New"/>
          <w:b/>
          <w:bCs/>
          <w:sz w:val="32"/>
          <w:szCs w:val="32"/>
        </w:rPr>
        <w:t>万元。</w:t>
      </w:r>
      <w:r>
        <w:rPr>
          <w:rFonts w:hint="eastAsia" w:ascii="仿宋_GB2312" w:hAnsi="宋体" w:eastAsia="仿宋_GB2312" w:cs="Courier New"/>
          <w:b w:val="0"/>
          <w:bCs w:val="0"/>
          <w:sz w:val="32"/>
          <w:szCs w:val="32"/>
        </w:rPr>
        <w:t>主要用于</w:t>
      </w:r>
      <w:r>
        <w:rPr>
          <w:rFonts w:hint="eastAsia" w:ascii="仿宋_GB2312" w:hAnsi="宋体" w:eastAsia="仿宋_GB2312" w:cs="Courier New"/>
          <w:b w:val="0"/>
          <w:bCs w:val="0"/>
          <w:sz w:val="32"/>
          <w:szCs w:val="32"/>
          <w:lang w:eastAsia="zh-CN"/>
        </w:rPr>
        <w:t>会议接待</w:t>
      </w:r>
      <w:r>
        <w:rPr>
          <w:rFonts w:hint="eastAsia" w:ascii="仿宋_GB2312" w:hAnsi="宋体" w:eastAsia="仿宋_GB2312" w:cs="Courier New"/>
          <w:b w:val="0"/>
          <w:bCs w:val="0"/>
          <w:sz w:val="32"/>
          <w:szCs w:val="32"/>
        </w:rPr>
        <w:t>。</w:t>
      </w:r>
      <w:r>
        <w:rPr>
          <w:rFonts w:hint="eastAsia" w:ascii="仿宋_GB2312" w:hAnsi="宋体" w:eastAsia="仿宋_GB2312" w:cs="Courier New"/>
          <w:b w:val="0"/>
          <w:bCs w:val="0"/>
          <w:sz w:val="32"/>
          <w:szCs w:val="32"/>
          <w:lang w:eastAsia="zh-CN"/>
        </w:rPr>
        <w:t>孙口镇政府</w:t>
      </w:r>
      <w:r>
        <w:rPr>
          <w:rFonts w:hint="eastAsia" w:ascii="仿宋_GB2312" w:hAnsi="宋体" w:eastAsia="仿宋_GB2312" w:cs="Courier New"/>
          <w:b w:val="0"/>
          <w:bCs w:val="0"/>
          <w:sz w:val="32"/>
          <w:szCs w:val="32"/>
        </w:rPr>
        <w:t>2016年度共接待国内来访团组</w:t>
      </w:r>
      <w:r>
        <w:rPr>
          <w:rFonts w:hint="eastAsia" w:ascii="仿宋_GB2312" w:hAnsi="宋体" w:eastAsia="仿宋_GB2312" w:cs="Courier New"/>
          <w:b w:val="0"/>
          <w:bCs w:val="0"/>
          <w:sz w:val="32"/>
          <w:szCs w:val="32"/>
          <w:lang w:val="en-US" w:eastAsia="zh-CN"/>
        </w:rPr>
        <w:t>28</w:t>
      </w:r>
      <w:r>
        <w:rPr>
          <w:rFonts w:hint="eastAsia" w:ascii="仿宋_GB2312" w:hAnsi="宋体" w:eastAsia="仿宋_GB2312" w:cs="Courier New"/>
          <w:b w:val="0"/>
          <w:bCs w:val="0"/>
          <w:sz w:val="32"/>
          <w:szCs w:val="32"/>
        </w:rPr>
        <w:t>个、来访</w:t>
      </w:r>
      <w:r>
        <w:rPr>
          <w:rFonts w:hint="eastAsia" w:ascii="仿宋_GB2312" w:hAnsi="宋体" w:eastAsia="仿宋_GB2312" w:cs="Courier New"/>
          <w:b w:val="0"/>
          <w:bCs w:val="0"/>
          <w:sz w:val="32"/>
          <w:szCs w:val="32"/>
          <w:lang w:eastAsia="zh-CN"/>
        </w:rPr>
        <w:t>人员</w:t>
      </w:r>
      <w:r>
        <w:rPr>
          <w:rFonts w:hint="eastAsia" w:ascii="仿宋_GB2312" w:hAnsi="宋体" w:eastAsia="仿宋_GB2312" w:cs="Courier New"/>
          <w:b w:val="0"/>
          <w:bCs w:val="0"/>
          <w:sz w:val="32"/>
          <w:szCs w:val="32"/>
          <w:lang w:val="en-US" w:eastAsia="zh-CN"/>
        </w:rPr>
        <w:t>360</w:t>
      </w:r>
      <w:r>
        <w:rPr>
          <w:rFonts w:hint="eastAsia" w:ascii="仿宋_GB2312" w:hAnsi="宋体" w:eastAsia="仿宋_GB2312" w:cs="Courier New"/>
          <w:b w:val="0"/>
          <w:bCs w:val="0"/>
          <w:sz w:val="32"/>
          <w:szCs w:val="32"/>
        </w:rPr>
        <w:t>人次（不包括陪同人员）</w:t>
      </w:r>
      <w:r>
        <w:rPr>
          <w:rFonts w:hint="eastAsia" w:ascii="仿宋_GB2312" w:hAnsi="宋体" w:eastAsia="仿宋_GB2312" w:cs="Courier New"/>
          <w:b w:val="0"/>
          <w:bCs w:val="0"/>
          <w:sz w:val="32"/>
          <w:szCs w:val="32"/>
          <w:lang w:eastAsia="zh-CN"/>
        </w:rPr>
        <w:t>。</w:t>
      </w: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w:t>
      </w:r>
    </w:p>
    <w:p>
      <w:pPr>
        <w:numPr>
          <w:ilvl w:val="0"/>
          <w:numId w:val="11"/>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根据财政预算管理要求，ＸＸ</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对2016年度一般公共预算项目支出全面开展绩效自评。其中，一级项目ＸＸ个，二级项目ＸＸ个，共涉及预算资金ＸＸ万元，自评覆盖率达到ＸＸ%。</w:t>
      </w:r>
    </w:p>
    <w:p>
      <w:pPr>
        <w:numPr>
          <w:ilvl w:val="0"/>
          <w:numId w:val="11"/>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ＸＸ</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在2016年度部门决算中增加“ＸＸ”项目绩效评价结果。根据2016年年初设定的绩效目标，“ＸＸ”项目自评得分为ＸＸ分。发现的主要问题：……。下一步改进措施：……。</w:t>
      </w: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2016年度政府性基金预算财政拨款支出年初预算为</w:t>
      </w:r>
      <w:r>
        <w:rPr>
          <w:rFonts w:hint="eastAsia" w:ascii="仿宋_GB2312" w:hAnsi="宋体" w:eastAsia="仿宋_GB2312" w:cs="Courier New"/>
          <w:sz w:val="32"/>
          <w:szCs w:val="32"/>
          <w:lang w:val="en-US" w:eastAsia="zh-CN"/>
        </w:rPr>
        <w:t>1760.4</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1760.4</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%。主要用于</w:t>
      </w:r>
      <w:r>
        <w:rPr>
          <w:rFonts w:hint="eastAsia" w:ascii="仿宋_GB2312" w:hAnsi="宋体" w:eastAsia="仿宋_GB2312" w:cs="Courier New"/>
          <w:sz w:val="32"/>
          <w:szCs w:val="32"/>
          <w:lang w:eastAsia="zh-CN"/>
        </w:rPr>
        <w:t>拆迁补偿与城市建设支出</w:t>
      </w:r>
      <w:r>
        <w:rPr>
          <w:rFonts w:hint="eastAsia" w:ascii="仿宋_GB2312" w:hAnsi="宋体" w:eastAsia="仿宋_GB2312" w:cs="Courier New"/>
          <w:sz w:val="32"/>
          <w:szCs w:val="32"/>
        </w:rPr>
        <w:t>。其中ＸＸ等项目年末结转和结余资金数额较大，主要原因：……。</w:t>
      </w:r>
    </w:p>
    <w:p>
      <w:pPr>
        <w:numPr>
          <w:ilvl w:val="0"/>
          <w:numId w:val="6"/>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其他重要事项的情况说明</w:t>
      </w:r>
    </w:p>
    <w:p>
      <w:pPr>
        <w:numPr>
          <w:ilvl w:val="0"/>
          <w:numId w:val="12"/>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2016年度机关运行经费支出ＸＸ万元，比2015年增加（减少）ＸＸ万元，增长（下降）ＸＸ</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12"/>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政府采购支出总额ＸＸ万元，其中：政府采购货物支出ＸＸ万元，政府采购工程支出ＸＸ万元，政府采购服务支出ＸＸ万元。授予中小企业合同金额ＸＸ万元，占政府采购支出总额的ＸＸ%，其中：授予小微企业合同金额ＸＸ万元，占政府采购支出总额的ＸＸ%。</w:t>
      </w:r>
    </w:p>
    <w:p>
      <w:pPr>
        <w:numPr>
          <w:ilvl w:val="0"/>
          <w:numId w:val="12"/>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2016年期末，ＸＸ</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共有车辆ＸＸ辆，其中：一般公务用车ＸＸ辆、一般执法执勤用车ＸＸ辆、特种专业技术用车ＸＸ辆，其他用车ＸＸ辆，其他用车主要是……；单价50万元以上通用设备ＸＸ台（套），单位价值100万元以上专用设备ＸＸ台（套）。</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lang w:eastAsia="zh-CN"/>
        </w:rPr>
        <w:t>（说明：请</w:t>
      </w:r>
      <w:r>
        <w:rPr>
          <w:rFonts w:hint="eastAsia" w:ascii="仿宋_GB2312" w:hAnsi="宋体" w:eastAsia="仿宋_GB2312" w:cs="Courier New"/>
          <w:b/>
          <w:bCs/>
          <w:sz w:val="32"/>
          <w:szCs w:val="32"/>
          <w:highlight w:val="yellow"/>
        </w:rPr>
        <w:t>结合本部门</w:t>
      </w:r>
      <w:r>
        <w:rPr>
          <w:rFonts w:hint="eastAsia" w:ascii="仿宋_GB2312" w:hAnsi="宋体" w:eastAsia="仿宋_GB2312" w:cs="Courier New"/>
          <w:b/>
          <w:bCs/>
          <w:sz w:val="32"/>
          <w:szCs w:val="32"/>
          <w:highlight w:val="yellow"/>
          <w:lang w:eastAsia="zh-CN"/>
        </w:rPr>
        <w:t>公开</w:t>
      </w:r>
      <w:r>
        <w:rPr>
          <w:rFonts w:hint="eastAsia" w:ascii="仿宋_GB2312" w:hAnsi="宋体" w:eastAsia="仿宋_GB2312" w:cs="Courier New"/>
          <w:b/>
          <w:bCs/>
          <w:sz w:val="32"/>
          <w:szCs w:val="32"/>
          <w:highlight w:val="yellow"/>
          <w:lang w:val="en-US" w:eastAsia="zh-CN"/>
        </w:rPr>
        <w:t>01至公开08表</w:t>
      </w:r>
      <w:r>
        <w:rPr>
          <w:rFonts w:hint="eastAsia" w:ascii="仿宋_GB2312" w:hAnsi="宋体" w:eastAsia="仿宋_GB2312" w:cs="Courier New"/>
          <w:b/>
          <w:bCs/>
          <w:sz w:val="32"/>
          <w:szCs w:val="32"/>
          <w:highlight w:val="yellow"/>
        </w:rPr>
        <w:t>给出名词解释，本单位公开表中有的、金额较大的要给出名词解释，没有的要删除！</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eastAsia="zh-CN"/>
        </w:rPr>
        <w:t>例</w:t>
      </w:r>
      <w:r>
        <w:rPr>
          <w:rFonts w:hint="eastAsia" w:ascii="仿宋_GB2312" w:hAnsi="宋体" w:eastAsia="仿宋_GB2312" w:cs="Courier New"/>
          <w:b/>
          <w:bCs/>
          <w:sz w:val="32"/>
          <w:szCs w:val="32"/>
          <w:highlight w:val="yellow"/>
          <w:lang w:val="en-US" w:eastAsia="zh-CN"/>
        </w:rPr>
        <w:t>1</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lang w:eastAsia="zh-CN"/>
        </w:rPr>
        <w:t>某部门公开</w:t>
      </w:r>
      <w:r>
        <w:rPr>
          <w:rFonts w:hint="eastAsia" w:ascii="仿宋_GB2312" w:hAnsi="宋体" w:eastAsia="仿宋_GB2312" w:cs="Courier New"/>
          <w:b/>
          <w:bCs/>
          <w:sz w:val="32"/>
          <w:szCs w:val="32"/>
          <w:highlight w:val="yellow"/>
          <w:lang w:val="en-US" w:eastAsia="zh-CN"/>
        </w:rPr>
        <w:t>01表中收入栏“一、财政拨款收入”、“六、其他收入”两项有数据，则可给出以下名词解释</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lang w:val="en-US" w:eastAsia="zh-CN"/>
        </w:rPr>
        <w:t>一、财政拨款收入：</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二、其他收入：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highlight w:val="yellow"/>
        </w:rPr>
      </w:pPr>
      <w:r>
        <w:rPr>
          <w:rFonts w:hint="eastAsia" w:ascii="仿宋_GB2312" w:hAnsi="宋体" w:eastAsia="仿宋_GB2312" w:cs="Courier New"/>
          <w:b/>
          <w:bCs/>
          <w:sz w:val="32"/>
          <w:szCs w:val="32"/>
          <w:highlight w:val="yellow"/>
          <w:lang w:val="en-US" w:eastAsia="zh-CN"/>
        </w:rPr>
        <w:t>三、</w:t>
      </w:r>
      <w:r>
        <w:rPr>
          <w:rFonts w:hint="eastAsia" w:ascii="仿宋_GB2312" w:hAnsi="宋体" w:eastAsia="仿宋_GB2312" w:cs="Courier New"/>
          <w:b/>
          <w:bCs/>
          <w:sz w:val="32"/>
          <w:szCs w:val="32"/>
          <w:highlight w:val="yellow"/>
        </w:rPr>
        <w:t>用事业基金弥补收支差额：</w:t>
      </w:r>
      <w:r>
        <w:rPr>
          <w:rFonts w:hint="eastAsia" w:ascii="仿宋_GB2312" w:hAnsi="宋体" w:eastAsia="仿宋_GB2312" w:cs="Courier New"/>
          <w:sz w:val="32"/>
          <w:szCs w:val="32"/>
          <w:highlight w:val="yellow"/>
        </w:rPr>
        <w:t>指事业单位在当年的“财政拨款收入”、“其他收入”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highlight w:val="yellow"/>
        </w:rPr>
      </w:pPr>
      <w:r>
        <w:rPr>
          <w:rFonts w:hint="eastAsia" w:ascii="仿宋_GB2312" w:hAnsi="宋体" w:eastAsia="仿宋_GB2312" w:cs="Courier New"/>
          <w:sz w:val="32"/>
          <w:szCs w:val="32"/>
          <w:highlight w:val="yellow"/>
        </w:rPr>
        <w:t>……</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例2</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lang w:eastAsia="zh-CN"/>
        </w:rPr>
        <w:t>某部门公开</w:t>
      </w:r>
      <w:r>
        <w:rPr>
          <w:rFonts w:hint="eastAsia" w:ascii="仿宋_GB2312" w:hAnsi="宋体" w:eastAsia="仿宋_GB2312" w:cs="Courier New"/>
          <w:b/>
          <w:bCs/>
          <w:sz w:val="32"/>
          <w:szCs w:val="32"/>
          <w:highlight w:val="yellow"/>
          <w:lang w:val="en-US" w:eastAsia="zh-CN"/>
        </w:rPr>
        <w:t>01表中收入栏六项均有数据，则可给出以下名词解释</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lang w:val="en-US" w:eastAsia="zh-CN"/>
        </w:rPr>
        <w:t>一、财政拨款收入：</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二、上级补助收入：</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三、事业收入：</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四、经营收入：</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五、附属单位上缴收入：</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highlight w:val="yellow"/>
          <w:lang w:val="en-US" w:eastAsia="zh-CN"/>
        </w:rPr>
      </w:pPr>
      <w:r>
        <w:rPr>
          <w:rFonts w:hint="eastAsia" w:ascii="仿宋_GB2312" w:hAnsi="宋体" w:eastAsia="仿宋_GB2312" w:cs="Courier New"/>
          <w:b/>
          <w:bCs/>
          <w:sz w:val="32"/>
          <w:szCs w:val="32"/>
          <w:highlight w:val="yellow"/>
          <w:lang w:val="en-US" w:eastAsia="zh-CN"/>
        </w:rPr>
        <w:t>六、其他收入</w:t>
      </w:r>
    </w:p>
    <w:p>
      <w:pPr>
        <w:kinsoku w:val="0"/>
        <w:overflowPunct w:val="0"/>
        <w:autoSpaceDE w:val="0"/>
        <w:autoSpaceDN w:val="0"/>
        <w:adjustRightInd w:val="0"/>
        <w:snapToGrid w:val="0"/>
        <w:spacing w:line="360" w:lineRule="auto"/>
        <w:ind w:firstLine="643" w:firstLineChars="200"/>
        <w:jc w:val="left"/>
        <w:rPr>
          <w:rFonts w:hint="eastAsia" w:ascii="仿宋_GB2312" w:hAnsi="宋体" w:eastAsia="仿宋_GB2312" w:cs="Courier New"/>
          <w:sz w:val="32"/>
          <w:szCs w:val="32"/>
          <w:highlight w:val="yellow"/>
        </w:rPr>
      </w:pPr>
      <w:r>
        <w:rPr>
          <w:rFonts w:hint="eastAsia" w:ascii="仿宋_GB2312" w:hAnsi="宋体" w:eastAsia="仿宋_GB2312" w:cs="Courier New"/>
          <w:b/>
          <w:bCs/>
          <w:sz w:val="32"/>
          <w:szCs w:val="32"/>
          <w:highlight w:val="yellow"/>
          <w:lang w:val="en-US" w:eastAsia="zh-CN"/>
        </w:rPr>
        <w:t>七、</w:t>
      </w:r>
      <w:r>
        <w:rPr>
          <w:rFonts w:hint="eastAsia" w:ascii="仿宋_GB2312" w:hAnsi="宋体" w:eastAsia="仿宋_GB2312" w:cs="Courier New"/>
          <w:b/>
          <w:bCs/>
          <w:sz w:val="32"/>
          <w:szCs w:val="32"/>
          <w:highlight w:val="yellow"/>
        </w:rPr>
        <w:t>用事业基金弥补收支差额：</w:t>
      </w:r>
      <w:r>
        <w:rPr>
          <w:rFonts w:hint="eastAsia" w:ascii="仿宋_GB2312" w:hAnsi="宋体" w:eastAsia="仿宋_GB2312" w:cs="Courier New"/>
          <w:sz w:val="32"/>
          <w:szCs w:val="32"/>
          <w:highlight w:val="yellow"/>
        </w:rPr>
        <w:t>指事业单位在当年的“财政拨款收入”、</w:t>
      </w:r>
      <w:r>
        <w:rPr>
          <w:rFonts w:hint="eastAsia" w:ascii="仿宋_GB2312" w:hAnsi="宋体" w:eastAsia="仿宋_GB2312" w:cs="Courier New"/>
          <w:sz w:val="32"/>
          <w:szCs w:val="32"/>
          <w:highlight w:val="yellow"/>
          <w:lang w:eastAsia="zh-CN"/>
        </w:rPr>
        <w:t>“上级补助收入”、</w:t>
      </w:r>
      <w:r>
        <w:rPr>
          <w:rFonts w:hint="eastAsia" w:ascii="仿宋_GB2312" w:hAnsi="宋体" w:eastAsia="仿宋_GB2312" w:cs="Courier New"/>
          <w:sz w:val="32"/>
          <w:szCs w:val="32"/>
          <w:highlight w:val="yellow"/>
        </w:rPr>
        <w:t>“事业收入”、“经营收入”</w:t>
      </w:r>
      <w:r>
        <w:rPr>
          <w:rFonts w:hint="eastAsia" w:ascii="仿宋_GB2312" w:hAnsi="宋体" w:eastAsia="仿宋_GB2312" w:cs="Courier New"/>
          <w:sz w:val="32"/>
          <w:szCs w:val="32"/>
          <w:highlight w:val="yellow"/>
          <w:lang w:eastAsia="zh-CN"/>
        </w:rPr>
        <w:t>、“附属单位上缴收入”</w:t>
      </w:r>
      <w:r>
        <w:rPr>
          <w:rFonts w:hint="eastAsia" w:ascii="仿宋_GB2312" w:hAnsi="宋体" w:eastAsia="仿宋_GB2312" w:cs="Courier New"/>
          <w:sz w:val="32"/>
          <w:szCs w:val="32"/>
          <w:highlight w:val="yellow"/>
        </w:rPr>
        <w:t>和“其他收入”不足以安排当年支出的情况下，使用以前年度积累的事业基金（事业单位当年收支相抵后按国家规定提取、用于弥补以后年度收支差额的基金）弥补当年收支缺口的资金。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b/>
          <w:bCs/>
          <w:sz w:val="32"/>
          <w:szCs w:val="32"/>
          <w:highlight w:val="yellow"/>
        </w:rPr>
      </w:pPr>
      <w:r>
        <w:rPr>
          <w:rFonts w:hint="eastAsia" w:ascii="仿宋_GB2312" w:hAnsi="宋体" w:eastAsia="仿宋_GB2312" w:cs="Courier New"/>
          <w:sz w:val="32"/>
          <w:szCs w:val="32"/>
          <w:highlight w:val="yellow"/>
        </w:rPr>
        <w:t>……</w:t>
      </w:r>
      <w:r>
        <w:rPr>
          <w:rFonts w:hint="eastAsia" w:ascii="仿宋_GB2312" w:hAnsi="宋体" w:eastAsia="仿宋_GB2312" w:cs="Courier New"/>
          <w:b/>
          <w:bCs/>
          <w:sz w:val="32"/>
          <w:szCs w:val="32"/>
          <w:highlight w:val="yellow"/>
          <w:lang w:eastAsia="zh-CN"/>
        </w:rPr>
        <w:t>）</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指省级财政当年拨付的资金。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w:t>
      </w:r>
      <w:r>
        <w:rPr>
          <w:rFonts w:hint="eastAsia" w:ascii="仿宋_GB2312" w:hAnsi="宋体" w:eastAsia="仿宋_GB2312" w:cs="Courier New"/>
          <w:sz w:val="32"/>
          <w:szCs w:val="32"/>
          <w:lang w:eastAsia="zh-CN"/>
        </w:rPr>
        <w:t>业务</w:t>
      </w:r>
      <w:r>
        <w:rPr>
          <w:rFonts w:hint="eastAsia" w:ascii="仿宋_GB2312" w:hAnsi="宋体" w:eastAsia="仿宋_GB2312" w:cs="Courier New"/>
          <w:sz w:val="32"/>
          <w:szCs w:val="32"/>
        </w:rPr>
        <w:t>活动及辅助活动所取得的收入。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val="0"/>
          <w:bCs w:val="0"/>
          <w:sz w:val="32"/>
          <w:szCs w:val="32"/>
          <w:highlight w:val="none"/>
        </w:rPr>
      </w:pPr>
      <w:r>
        <w:rPr>
          <w:rFonts w:hint="eastAsia" w:ascii="仿宋_GB2312" w:hAnsi="宋体" w:eastAsia="仿宋_GB2312" w:cs="Courier New"/>
          <w:b/>
          <w:bCs/>
          <w:sz w:val="32"/>
          <w:szCs w:val="32"/>
          <w:highlight w:val="none"/>
        </w:rPr>
        <w:t>三、其他收入：</w:t>
      </w:r>
      <w:r>
        <w:rPr>
          <w:rFonts w:hint="eastAsia" w:ascii="仿宋_GB2312" w:hAnsi="宋体" w:eastAsia="仿宋_GB2312" w:cs="Courier New"/>
          <w:b w:val="0"/>
          <w:bCs w:val="0"/>
          <w:sz w:val="32"/>
          <w:szCs w:val="32"/>
          <w:highlight w:val="none"/>
        </w:rPr>
        <w:t>指</w:t>
      </w:r>
      <w:r>
        <w:rPr>
          <w:rFonts w:hint="eastAsia" w:ascii="仿宋_GB2312" w:hAnsi="宋体" w:eastAsia="仿宋_GB2312" w:cs="Courier New"/>
          <w:b w:val="0"/>
          <w:bCs w:val="0"/>
          <w:sz w:val="32"/>
          <w:szCs w:val="32"/>
          <w:highlight w:val="none"/>
          <w:lang w:eastAsia="zh-CN"/>
        </w:rPr>
        <w:t>本部门取得的</w:t>
      </w:r>
      <w:r>
        <w:rPr>
          <w:rFonts w:hint="eastAsia" w:ascii="仿宋_GB2312" w:hAnsi="宋体" w:eastAsia="仿宋_GB2312" w:cs="Courier New"/>
          <w:b w:val="0"/>
          <w:bCs w:val="0"/>
          <w:sz w:val="32"/>
          <w:szCs w:val="32"/>
          <w:highlight w:val="none"/>
        </w:rPr>
        <w:t>除“财政拨款</w:t>
      </w:r>
      <w:r>
        <w:rPr>
          <w:rFonts w:hint="eastAsia" w:ascii="仿宋_GB2312" w:hAnsi="宋体" w:eastAsia="仿宋_GB2312" w:cs="Courier New"/>
          <w:b w:val="0"/>
          <w:bCs w:val="0"/>
          <w:sz w:val="32"/>
          <w:szCs w:val="32"/>
          <w:highlight w:val="none"/>
          <w:lang w:eastAsia="zh-CN"/>
        </w:rPr>
        <w:t>收入</w:t>
      </w:r>
      <w:r>
        <w:rPr>
          <w:rFonts w:hint="eastAsia" w:ascii="仿宋_GB2312" w:hAnsi="宋体" w:eastAsia="仿宋_GB2312" w:cs="Courier New"/>
          <w:b w:val="0"/>
          <w:bCs w:val="0"/>
          <w:sz w:val="32"/>
          <w:szCs w:val="32"/>
          <w:highlight w:val="none"/>
        </w:rPr>
        <w:t>”、“事业收入”、“经营收入”等以外的收入。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四、用事业基金弥补收支差额：</w:t>
      </w:r>
      <w:r>
        <w:rPr>
          <w:rFonts w:hint="eastAsia" w:ascii="仿宋_GB2312" w:hAnsi="宋体" w:eastAsia="仿宋_GB2312" w:cs="Courier New"/>
          <w:sz w:val="32"/>
          <w:szCs w:val="32"/>
          <w:highlight w:val="yellow"/>
        </w:rPr>
        <w:t>指事业单位在当年的“财政拨款收入”、“事业收入”和“其他收入”</w:t>
      </w:r>
      <w:r>
        <w:rPr>
          <w:rFonts w:hint="eastAsia" w:ascii="仿宋_GB2312" w:hAnsi="宋体" w:eastAsia="仿宋_GB2312" w:cs="Courier New"/>
          <w:sz w:val="32"/>
          <w:szCs w:val="32"/>
        </w:rPr>
        <w:t>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highlight w:val="none"/>
        </w:rPr>
      </w:pPr>
      <w:r>
        <w:rPr>
          <w:rFonts w:hint="eastAsia" w:ascii="仿宋_GB2312" w:hAnsi="宋体" w:eastAsia="仿宋_GB2312" w:cs="Courier New"/>
          <w:b/>
          <w:bCs/>
          <w:sz w:val="32"/>
          <w:szCs w:val="32"/>
          <w:highlight w:val="none"/>
        </w:rPr>
        <w:t>五、年末结转和结余：</w:t>
      </w:r>
      <w:r>
        <w:rPr>
          <w:rFonts w:hint="eastAsia" w:ascii="仿宋_GB2312" w:hAnsi="宋体" w:eastAsia="仿宋_GB2312" w:cs="Courier New"/>
          <w:b w:val="0"/>
          <w:bCs w:val="0"/>
          <w:sz w:val="32"/>
          <w:szCs w:val="32"/>
          <w:highlight w:val="none"/>
        </w:rPr>
        <w:t>指本年度或以前年度预算安排、因客观条件发生变化无法按原计划实施，需延迟到以后年度按有关规定继续使用的资金</w:t>
      </w:r>
      <w:r>
        <w:rPr>
          <w:rFonts w:hint="eastAsia" w:ascii="仿宋_GB2312" w:hAnsi="宋体" w:eastAsia="仿宋_GB2312" w:cs="Courier New"/>
          <w:sz w:val="32"/>
          <w:szCs w:val="32"/>
          <w:highlight w:val="none"/>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六、基本支出：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七、项目支出：</w:t>
      </w:r>
      <w:r>
        <w:rPr>
          <w:rFonts w:hint="eastAsia" w:ascii="仿宋_GB2312" w:hAnsi="宋体" w:eastAsia="仿宋_GB2312" w:cs="Courier New"/>
          <w:sz w:val="32"/>
          <w:szCs w:val="32"/>
        </w:rPr>
        <w:t>指在基本支出之外为完成特定行政任务和事业发展目标所发生的支出</w:t>
      </w:r>
    </w:p>
    <w:p>
      <w:pPr>
        <w:numPr>
          <w:ilvl w:val="0"/>
          <w:numId w:val="0"/>
        </w:num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rPr>
        <w:t>八、</w:t>
      </w:r>
      <w:r>
        <w:rPr>
          <w:rFonts w:hint="eastAsia" w:ascii="仿宋_GB2312" w:hAnsi="仿宋_GB2312" w:eastAsia="仿宋_GB2312" w:cs="仿宋_GB2312"/>
          <w:b/>
          <w:bCs/>
          <w:sz w:val="32"/>
          <w:szCs w:val="32"/>
        </w:rPr>
        <w:t>外交（类）国际组织（款）国际组织会费（项）</w:t>
      </w:r>
      <w:r>
        <w:rPr>
          <w:rFonts w:hint="eastAsia" w:ascii="仿宋_GB2312" w:hAnsi="仿宋_GB2312" w:eastAsia="仿宋_GB2312" w:cs="仿宋_GB2312"/>
          <w:b/>
          <w:bCs/>
          <w:sz w:val="32"/>
          <w:szCs w:val="32"/>
          <w:highlight w:val="yellow"/>
          <w:lang w:eastAsia="zh-CN"/>
        </w:rPr>
        <w:t>（根据本单位公开</w:t>
      </w:r>
      <w:r>
        <w:rPr>
          <w:rFonts w:hint="eastAsia" w:ascii="仿宋_GB2312" w:hAnsi="仿宋_GB2312" w:eastAsia="仿宋_GB2312" w:cs="仿宋_GB2312"/>
          <w:b/>
          <w:bCs/>
          <w:sz w:val="32"/>
          <w:szCs w:val="32"/>
          <w:highlight w:val="yellow"/>
          <w:lang w:val="en-US" w:eastAsia="zh-CN"/>
        </w:rPr>
        <w:t>03表填写</w:t>
      </w:r>
      <w:r>
        <w:rPr>
          <w:rFonts w:hint="eastAsia" w:ascii="仿宋_GB2312" w:hAnsi="仿宋_GB2312" w:eastAsia="仿宋_GB2312" w:cs="仿宋_GB2312"/>
          <w:b/>
          <w:bCs/>
          <w:sz w:val="32"/>
          <w:szCs w:val="32"/>
          <w:highlight w:val="yellow"/>
          <w:lang w:eastAsia="zh-CN"/>
        </w:rPr>
        <w:t>）</w:t>
      </w:r>
      <w:r>
        <w:rPr>
          <w:rFonts w:hint="eastAsia" w:ascii="仿宋_GB2312" w:hAnsi="仿宋_GB2312" w:eastAsia="仿宋_GB2312" w:cs="仿宋_GB2312"/>
          <w:b/>
          <w:bCs/>
          <w:sz w:val="32"/>
          <w:szCs w:val="32"/>
        </w:rPr>
        <w:t>：</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九</w:t>
      </w:r>
      <w:r>
        <w:rPr>
          <w:rFonts w:hint="eastAsia" w:ascii="仿宋_GB2312" w:hAnsi="宋体" w:eastAsia="仿宋_GB2312" w:cs="Courier New"/>
          <w:b/>
          <w:bCs/>
          <w:sz w:val="32"/>
          <w:szCs w:val="32"/>
        </w:rPr>
        <w:t>、外交（类）国际组织（款）国际组织捐赠（项）</w:t>
      </w:r>
      <w:r>
        <w:rPr>
          <w:rFonts w:hint="eastAsia" w:ascii="仿宋_GB2312" w:hAnsi="仿宋_GB2312" w:eastAsia="仿宋_GB2312" w:cs="仿宋_GB2312"/>
          <w:b/>
          <w:bCs/>
          <w:sz w:val="32"/>
          <w:szCs w:val="32"/>
          <w:highlight w:val="yellow"/>
          <w:lang w:eastAsia="zh-CN"/>
        </w:rPr>
        <w:t>（根据本单位公开</w:t>
      </w:r>
      <w:r>
        <w:rPr>
          <w:rFonts w:hint="eastAsia" w:ascii="仿宋_GB2312" w:hAnsi="仿宋_GB2312" w:eastAsia="仿宋_GB2312" w:cs="仿宋_GB2312"/>
          <w:b/>
          <w:bCs/>
          <w:sz w:val="32"/>
          <w:szCs w:val="32"/>
          <w:highlight w:val="yellow"/>
          <w:lang w:val="en-US" w:eastAsia="zh-CN"/>
        </w:rPr>
        <w:t>03表填写</w:t>
      </w:r>
      <w:r>
        <w:rPr>
          <w:rFonts w:hint="eastAsia" w:ascii="仿宋_GB2312" w:hAnsi="仿宋_GB2312" w:eastAsia="仿宋_GB2312" w:cs="仿宋_GB2312"/>
          <w:b/>
          <w:bCs/>
          <w:sz w:val="32"/>
          <w:szCs w:val="32"/>
          <w:highlight w:val="yellow"/>
          <w:lang w:eastAsia="zh-CN"/>
        </w:rPr>
        <w:t>）</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十</w:t>
      </w:r>
      <w:r>
        <w:rPr>
          <w:rFonts w:hint="eastAsia" w:ascii="仿宋_GB2312" w:hAnsi="宋体" w:eastAsia="仿宋_GB2312" w:cs="Courier New"/>
          <w:b/>
          <w:bCs/>
          <w:sz w:val="32"/>
          <w:szCs w:val="32"/>
        </w:rPr>
        <w:t>、外交（类）国际组织（款）国际组织股金及基金（项）</w:t>
      </w:r>
      <w:r>
        <w:rPr>
          <w:rFonts w:hint="eastAsia" w:ascii="仿宋_GB2312" w:hAnsi="仿宋_GB2312" w:eastAsia="仿宋_GB2312" w:cs="仿宋_GB2312"/>
          <w:b/>
          <w:bCs/>
          <w:sz w:val="32"/>
          <w:szCs w:val="32"/>
          <w:highlight w:val="yellow"/>
          <w:lang w:eastAsia="zh-CN"/>
        </w:rPr>
        <w:t>（根据本单位公开</w:t>
      </w:r>
      <w:r>
        <w:rPr>
          <w:rFonts w:hint="eastAsia" w:ascii="仿宋_GB2312" w:hAnsi="仿宋_GB2312" w:eastAsia="仿宋_GB2312" w:cs="仿宋_GB2312"/>
          <w:b/>
          <w:bCs/>
          <w:sz w:val="32"/>
          <w:szCs w:val="32"/>
          <w:highlight w:val="yellow"/>
          <w:lang w:val="en-US" w:eastAsia="zh-CN"/>
        </w:rPr>
        <w:t>03表填写</w:t>
      </w:r>
      <w:r>
        <w:rPr>
          <w:rFonts w:hint="eastAsia" w:ascii="仿宋_GB2312" w:hAnsi="仿宋_GB2312" w:eastAsia="仿宋_GB2312" w:cs="仿宋_GB2312"/>
          <w:b/>
          <w:bCs/>
          <w:sz w:val="32"/>
          <w:szCs w:val="32"/>
          <w:highlight w:val="yellow"/>
          <w:lang w:eastAsia="zh-CN"/>
        </w:rPr>
        <w:t>）</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w:t>
      </w:r>
    </w:p>
    <w:p>
      <w:pPr>
        <w:numPr>
          <w:ilvl w:val="0"/>
          <w:numId w:val="0"/>
        </w:num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jc w:val="left"/>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九十</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纳入省级财政预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九</w:t>
      </w:r>
      <w:r>
        <w:rPr>
          <w:rFonts w:hint="eastAsia" w:ascii="仿宋_GB2312" w:hAnsi="宋体" w:eastAsia="仿宋_GB2312" w:cs="Courier New"/>
          <w:b/>
          <w:bCs/>
          <w:sz w:val="32"/>
          <w:szCs w:val="32"/>
        </w:rPr>
        <w:t>十</w:t>
      </w:r>
      <w:r>
        <w:rPr>
          <w:rFonts w:hint="eastAsia" w:ascii="仿宋_GB2312" w:hAnsi="宋体" w:eastAsia="仿宋_GB2312" w:cs="Courier New"/>
          <w:b/>
          <w:bCs/>
          <w:sz w:val="32"/>
          <w:szCs w:val="32"/>
          <w:lang w:eastAsia="zh-CN"/>
        </w:rPr>
        <w:t>一</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rPr>
          <w:rFonts w:hint="eastAsia" w:ascii="仿宋_GB2312" w:hAnsi="宋体" w:eastAsia="仿宋_GB2312" w:cs="Courier New"/>
          <w:sz w:val="52"/>
          <w:szCs w:val="52"/>
          <w:highlight w:val="yellow"/>
          <w:lang w:val="en-US" w:eastAsia="zh-CN"/>
        </w:rPr>
      </w:pPr>
      <w:r>
        <w:rPr>
          <w:rFonts w:hint="eastAsia" w:ascii="仿宋_GB2312" w:hAnsi="宋体" w:eastAsia="仿宋_GB2312" w:cs="Courier New"/>
          <w:b/>
          <w:bCs/>
          <w:sz w:val="52"/>
          <w:szCs w:val="52"/>
          <w:highlight w:val="yellow"/>
          <w:lang w:val="en-US" w:eastAsia="zh-CN"/>
        </w:rPr>
        <w:t>保存为PDF版本的方法：</w:t>
      </w:r>
      <w:r>
        <w:rPr>
          <w:rFonts w:hint="eastAsia" w:ascii="仿宋_GB2312" w:hAnsi="宋体" w:eastAsia="仿宋_GB2312" w:cs="Courier New"/>
          <w:sz w:val="52"/>
          <w:szCs w:val="52"/>
          <w:highlight w:val="yellow"/>
          <w:lang w:val="en-US" w:eastAsia="zh-CN"/>
        </w:rPr>
        <w:t>百度wps、下载安装、打开wps软件、单击左上角wps文字-另存为-输出为PDF格式。</w:t>
      </w:r>
    </w:p>
    <w:sectPr>
      <w:pgSz w:w="11906" w:h="16838"/>
      <w:pgMar w:top="1440" w:right="1531" w:bottom="1440" w:left="1587" w:header="850"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2010601030101010101"/>
    <w:charset w:val="86"/>
    <w:family w:val="script"/>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altName w:val="PMingLiU"/>
    <w:panose1 w:val="020F0302020204030204"/>
    <w:charset w:val="00"/>
    <w:family w:val="roman"/>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Lucida Console"/>
    <w:panose1 w:val="02010609000101010101"/>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文星简超黑">
    <w:altName w:val="黑体"/>
    <w:panose1 w:val="02010609000101010101"/>
    <w:charset w:val="00"/>
    <w:family w:val="auto"/>
    <w:pitch w:val="default"/>
    <w:sig w:usb0="00000000" w:usb1="00000000" w:usb2="00000000" w:usb3="00000000" w:csb0="00000000" w:csb1="00000000"/>
  </w:font>
  <w:font w:name="文星简行草">
    <w:altName w:val="Lucida Console"/>
    <w:panose1 w:val="02010609000101010101"/>
    <w:charset w:val="00"/>
    <w:family w:val="auto"/>
    <w:pitch w:val="default"/>
    <w:sig w:usb0="00000000" w:usb1="00000000" w:usb2="00000000" w:usb3="00000000" w:csb0="00000000"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简隶书">
    <w:altName w:val="宋体"/>
    <w:panose1 w:val="02010609000101010101"/>
    <w:charset w:val="00"/>
    <w:family w:val="auto"/>
    <w:pitch w:val="default"/>
    <w:sig w:usb0="00000000" w:usb1="00000000" w:usb2="00000000" w:usb3="00000000" w:csb0="00000000" w:csb1="00000000"/>
  </w:font>
  <w:font w:name="文星简魏体">
    <w:altName w:val="Lucida Console"/>
    <w:panose1 w:val="02010609000101010101"/>
    <w:charset w:val="00"/>
    <w:family w:val="auto"/>
    <w:pitch w:val="default"/>
    <w:sig w:usb0="00000000" w:usb1="00000000" w:usb2="00000000" w:usb3="00000000" w:csb0="00000000" w:csb1="00000000"/>
  </w:font>
  <w:font w:name="文星简黑变">
    <w:altName w:val="黑体"/>
    <w:panose1 w:val="02010609000101010101"/>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altName w:val="Times New Roman"/>
    <w:panose1 w:val="02030600000101010101"/>
    <w:charset w:val="81"/>
    <w:family w:val="auto"/>
    <w:pitch w:val="default"/>
    <w:sig w:usb0="00000000" w:usb1="00000000" w:usb2="00000030" w:usb3="00000000" w:csb0="4008009F" w:csb1="DFD70000"/>
  </w:font>
  <w:font w:name="BatangChe">
    <w:altName w:val="Times New Roman"/>
    <w:panose1 w:val="02030609000101010101"/>
    <w:charset w:val="81"/>
    <w:family w:val="auto"/>
    <w:pitch w:val="default"/>
    <w:sig w:usb0="00000000" w:usb1="00000000" w:usb2="00000030" w:usb3="00000000" w:csb0="4008009F" w:csb1="DFD70000"/>
  </w:font>
  <w:font w:name="DFKai-SB">
    <w:altName w:val="MingLiU"/>
    <w:panose1 w:val="03000509000000000000"/>
    <w:charset w:val="88"/>
    <w:family w:val="auto"/>
    <w:pitch w:val="default"/>
    <w:sig w:usb0="00000000" w:usb1="00000000" w:usb2="00000016" w:usb3="00000000" w:csb0="00100001" w:csb1="00000000"/>
  </w:font>
  <w:font w:name="Dotum">
    <w:altName w:val="Times New Roman"/>
    <w:panose1 w:val="020B0600000101010101"/>
    <w:charset w:val="81"/>
    <w:family w:val="auto"/>
    <w:pitch w:val="default"/>
    <w:sig w:usb0="00000000" w:usb1="00000000" w:usb2="00000030" w:usb3="00000000" w:csb0="4008009F" w:csb1="DFD70000"/>
  </w:font>
  <w:font w:name="DotumChe">
    <w:altName w:val="Times New Roman"/>
    <w:panose1 w:val="020B0609000101010101"/>
    <w:charset w:val="81"/>
    <w:family w:val="auto"/>
    <w:pitch w:val="default"/>
    <w:sig w:usb0="00000000" w:usb1="00000000"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altName w:val="Times New Roman"/>
    <w:panose1 w:val="020B0503020000020004"/>
    <w:charset w:val="81"/>
    <w:family w:val="auto"/>
    <w:pitch w:val="default"/>
    <w:sig w:usb0="00000000" w:usb1="00000000" w:usb2="00000012" w:usb3="00000000" w:csb0="00080001" w:csb1="00000000"/>
  </w:font>
  <w:font w:name="GungsuhChe">
    <w:altName w:val="Times New Roman"/>
    <w:panose1 w:val="02030609000101010101"/>
    <w:charset w:val="81"/>
    <w:family w:val="auto"/>
    <w:pitch w:val="default"/>
    <w:sig w:usb0="00000000" w:usb1="00000000" w:usb2="00000030" w:usb3="00000000" w:csb0="4008009F" w:csb1="DFD70000"/>
  </w:font>
  <w:font w:name="Gungsuh">
    <w:altName w:val="Times New Roman"/>
    <w:panose1 w:val="02030600000101010101"/>
    <w:charset w:val="81"/>
    <w:family w:val="auto"/>
    <w:pitch w:val="default"/>
    <w:sig w:usb0="00000000" w:usb1="00000000" w:usb2="00000030" w:usb3="00000000" w:csb0="4008009F" w:csb1="DFD70000"/>
  </w:font>
  <w:font w:name="GulimChe">
    <w:altName w:val="Times New Roman"/>
    <w:panose1 w:val="020B0609000101010101"/>
    <w:charset w:val="81"/>
    <w:family w:val="auto"/>
    <w:pitch w:val="default"/>
    <w:sig w:usb0="00000000" w:usb1="00000000" w:usb2="00000030" w:usb3="00000000" w:csb0="4008009F" w:csb1="DFD70000"/>
  </w:font>
  <w:font w:name="Gulim">
    <w:altName w:val="Times New Roman"/>
    <w:panose1 w:val="020B0600000101010101"/>
    <w:charset w:val="81"/>
    <w:family w:val="auto"/>
    <w:pitch w:val="default"/>
    <w:sig w:usb0="00000000" w:usb1="00000000"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lgerian">
    <w:altName w:val="Courier New"/>
    <w:panose1 w:val="04020705040A02060702"/>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gency FB">
    <w:altName w:val="Trebuchet MS"/>
    <w:panose1 w:val="020B0503020202020204"/>
    <w:charset w:val="00"/>
    <w:family w:val="auto"/>
    <w:pitch w:val="default"/>
    <w:sig w:usb0="00000000"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Outlook">
    <w:altName w:val="Symbol"/>
    <w:panose1 w:val="05010100010000000000"/>
    <w:charset w:val="00"/>
    <w:family w:val="auto"/>
    <w:pitch w:val="default"/>
    <w:sig w:usb0="00000000" w:usb1="00000000" w:usb2="00000000" w:usb3="00000000" w:csb0="80000000" w:csb1="00000000"/>
  </w:font>
  <w:font w:name="Modern No. 20">
    <w:altName w:val="PMingLiU"/>
    <w:panose1 w:val="02070704070505020303"/>
    <w:charset w:val="00"/>
    <w:family w:val="auto"/>
    <w:pitch w:val="default"/>
    <w:sig w:usb0="00000000" w:usb1="00000000" w:usb2="00000000" w:usb3="00000000" w:csb0="20000001" w:csb1="00000000"/>
  </w:font>
  <w:font w:name="Miriam">
    <w:altName w:val="Vrinda"/>
    <w:panose1 w:val="020B0502050101010101"/>
    <w:charset w:val="00"/>
    <w:family w:val="auto"/>
    <w:pitch w:val="default"/>
    <w:sig w:usb0="00000000" w:usb1="00000000" w:usb2="00000000" w:usb3="00000000" w:csb0="00000020" w:csb1="00200000"/>
  </w:font>
  <w:font w:name="Microsoft Uighur">
    <w:altName w:val="Verdana"/>
    <w:panose1 w:val="02000000000000000000"/>
    <w:charset w:val="00"/>
    <w:family w:val="auto"/>
    <w:pitch w:val="default"/>
    <w:sig w:usb0="00000000" w:usb1="00000000" w:usb2="00000008" w:usb3="00000000" w:csb0="00000041" w:csb1="000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tura MT Script Capitals">
    <w:altName w:val="Comic Sans MS"/>
    <w:panose1 w:val="03020802060602070202"/>
    <w:charset w:val="00"/>
    <w:family w:val="auto"/>
    <w:pitch w:val="default"/>
    <w:sig w:usb0="00000000" w:usb1="00000000" w:usb2="00000000" w:usb3="00000000" w:csb0="20000001" w:csb1="00000000"/>
  </w:font>
  <w:font w:name="文星简大黑">
    <w:altName w:val="黑体"/>
    <w:panose1 w:val="02010609000101010101"/>
    <w:charset w:val="00"/>
    <w:family w:val="auto"/>
    <w:pitch w:val="default"/>
    <w:sig w:usb0="00000000" w:usb1="00000000" w:usb2="00000000" w:usb3="00000000" w:csb0="00000000" w:csb1="00000000"/>
  </w:font>
  <w:font w:name="文星简中圆">
    <w:altName w:val="Lucida Console"/>
    <w:panose1 w:val="02010609000101010101"/>
    <w:charset w:val="00"/>
    <w:family w:val="auto"/>
    <w:pitch w:val="default"/>
    <w:sig w:usb0="00000000" w:usb1="00000000" w:usb2="00000000" w:usb3="00000000" w:csb0="00000000"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Lucida Console"/>
    <w:panose1 w:val="02010609000101010101"/>
    <w:charset w:val="00"/>
    <w:family w:val="auto"/>
    <w:pitch w:val="default"/>
    <w:sig w:usb0="00000000" w:usb1="00000000" w:usb2="00000000" w:usb3="00000000" w:csb0="00000000"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
    <w:panose1 w:val="02010604000101010101"/>
    <w:charset w:val="86"/>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文星简舒同">
    <w:altName w:val="Lucida Console"/>
    <w:panose1 w:val="02010609000101010101"/>
    <w:charset w:val="00"/>
    <w:family w:val="auto"/>
    <w:pitch w:val="default"/>
    <w:sig w:usb0="00000000" w:usb1="00000000" w:usb2="00000000" w:usb3="00000000" w:csb0="00000000" w:csb1="00000000"/>
  </w:font>
  <w:font w:name="文星简粗黑">
    <w:altName w:val="黑体"/>
    <w:panose1 w:val="02010609000101010101"/>
    <w:charset w:val="00"/>
    <w:family w:val="auto"/>
    <w:pitch w:val="default"/>
    <w:sig w:usb0="00000000" w:usb1="00000000" w:usb2="00000000" w:usb3="00000000" w:csb0="00000000" w:csb1="00000000"/>
  </w:font>
  <w:font w:name="文星简彩云">
    <w:altName w:val="Lucida Console"/>
    <w:panose1 w:val="02010609000101010101"/>
    <w:charset w:val="00"/>
    <w:family w:val="auto"/>
    <w:pitch w:val="default"/>
    <w:sig w:usb0="00000000" w:usb1="00000000" w:usb2="00000000" w:usb3="00000000" w:csb0="00000000" w:csb1="00000000"/>
  </w:font>
  <w:font w:name="文星简大标宋">
    <w:altName w:val="宋体"/>
    <w:panose1 w:val="02010609000101010101"/>
    <w:charset w:val="00"/>
    <w:family w:val="auto"/>
    <w:pitch w:val="default"/>
    <w:sig w:usb0="00000000" w:usb1="00000000" w:usb2="00000000" w:usb3="00000000" w:csb0="00000000" w:csb1="00000000"/>
  </w:font>
  <w:font w:name="文星简行楷">
    <w:altName w:val="宋体"/>
    <w:panose1 w:val="02010609000101010101"/>
    <w:charset w:val="00"/>
    <w:family w:val="auto"/>
    <w:pitch w:val="default"/>
    <w:sig w:usb0="00000000" w:usb1="00000000" w:usb2="00000000" w:usb3="00000000" w:csb0="00000000" w:csb1="00000000"/>
  </w:font>
  <w:font w:name="文星简综艺">
    <w:altName w:val="Lucida Console"/>
    <w:panose1 w:val="02010609000101010101"/>
    <w:charset w:val="00"/>
    <w:family w:val="auto"/>
    <w:pitch w:val="default"/>
    <w:sig w:usb0="00000000" w:usb1="00000000" w:usb2="00000000" w:usb3="00000000" w:csb0="00000000" w:csb1="00000000"/>
  </w:font>
  <w:font w:name="文星简美黑">
    <w:altName w:val="黑体"/>
    <w:panose1 w:val="02010609000101010101"/>
    <w:charset w:val="00"/>
    <w:family w:val="auto"/>
    <w:pitch w:val="default"/>
    <w:sig w:usb0="00000000" w:usb1="00000000" w:usb2="00000000" w:usb3="00000000" w:csb0="00000000" w:csb1="00000000"/>
  </w:font>
  <w:font w:name="文星简胖头鱼">
    <w:altName w:val="Lucida Console"/>
    <w:panose1 w:val="02010609000101010101"/>
    <w:charset w:val="00"/>
    <w:family w:val="auto"/>
    <w:pitch w:val="default"/>
    <w:sig w:usb0="00000000" w:usb1="00000000" w:usb2="00000000" w:usb3="00000000" w:csb0="00000000" w:csb1="00000000"/>
  </w:font>
  <w:font w:name="文星简楷宋">
    <w:altName w:val="宋体"/>
    <w:panose1 w:val="02010609000101010101"/>
    <w:charset w:val="00"/>
    <w:family w:val="auto"/>
    <w:pitch w:val="default"/>
    <w:sig w:usb0="00000000" w:usb1="00000000" w:usb2="00000000" w:usb3="00000000" w:csb0="00000000" w:csb1="00000000"/>
  </w:font>
  <w:font w:name="幼圆">
    <w:altName w:val="宋体"/>
    <w:panose1 w:val="02010509060101010101"/>
    <w:charset w:val="86"/>
    <w:family w:val="auto"/>
    <w:pitch w:val="default"/>
    <w:sig w:usb0="00000000" w:usb1="00000000" w:usb2="00000000" w:usb3="00000000" w:csb0="00040000" w:csb1="00000000"/>
  </w:font>
  <w:font w:name="Segoe Print">
    <w:panose1 w:val="02000800000000000000"/>
    <w:charset w:val="00"/>
    <w:family w:val="auto"/>
    <w:pitch w:val="default"/>
    <w:sig w:usb0="0000028F" w:usb1="00000000" w:usb2="00000000" w:usb3="00000000" w:csb0="2000009F" w:csb1="47010000"/>
  </w:font>
  <w:font w:name="Lucida Sans Unicode">
    <w:altName w:val="Segoe Print"/>
    <w:panose1 w:val="020B0602030504020204"/>
    <w:charset w:val="00"/>
    <w:family w:val="auto"/>
    <w:pitch w:val="default"/>
    <w:sig w:usb0="00000000" w:usb1="00000000" w:usb2="00000000" w:usb3="00000000" w:csb0="0000003F" w:csb1="D7F70000"/>
  </w:font>
  <w:font w:name="Palatino Linotype">
    <w:panose1 w:val="020405020503050A0304"/>
    <w:charset w:val="00"/>
    <w:family w:val="auto"/>
    <w:pitch w:val="default"/>
    <w:sig w:usb0="E0000287" w:usb1="40000013"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Trebuchet MS">
    <w:panose1 w:val="020B0603020202090204"/>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Comic Sans MS">
    <w:panose1 w:val="030F0902030302020204"/>
    <w:charset w:val="00"/>
    <w:family w:val="auto"/>
    <w:pitch w:val="default"/>
    <w:sig w:usb0="00000287" w:usb1="00000000" w:usb2="00000000" w:usb3="00000000" w:csb0="2000009F" w:csb1="00000000"/>
  </w:font>
  <w:font w:name="宋体-PUA">
    <w:altName w:val="宋体"/>
    <w:panose1 w:val="02010600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Vrinda">
    <w:panose1 w:val="020B0502040204020203"/>
    <w:charset w:val="00"/>
    <w:family w:val="auto"/>
    <w:pitch w:val="default"/>
    <w:sig w:usb0="00010003"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971BF59"/>
    <w:multiLevelType w:val="singleLevel"/>
    <w:tmpl w:val="5971BF59"/>
    <w:lvl w:ilvl="0" w:tentative="0">
      <w:start w:val="1"/>
      <w:numFmt w:val="chineseCounting"/>
      <w:suff w:val="nothing"/>
      <w:lvlText w:val="%1、"/>
      <w:lvlJc w:val="left"/>
      <w:pPr>
        <w:ind w:left="0" w:firstLine="420"/>
      </w:pPr>
      <w:rPr>
        <w:rFonts w:hint="eastAsia"/>
      </w:rPr>
    </w:lvl>
  </w:abstractNum>
  <w:abstractNum w:abstractNumId="2">
    <w:nsid w:val="5971C193"/>
    <w:multiLevelType w:val="singleLevel"/>
    <w:tmpl w:val="5971C193"/>
    <w:lvl w:ilvl="0" w:tentative="0">
      <w:start w:val="2"/>
      <w:numFmt w:val="chineseCounting"/>
      <w:suff w:val="nothing"/>
      <w:lvlText w:val="%1、"/>
      <w:lvlJc w:val="left"/>
    </w:lvl>
  </w:abstractNum>
  <w:abstractNum w:abstractNumId="3">
    <w:nsid w:val="5971C2CF"/>
    <w:multiLevelType w:val="singleLevel"/>
    <w:tmpl w:val="5971C2CF"/>
    <w:lvl w:ilvl="0" w:tentative="0">
      <w:start w:val="1"/>
      <w:numFmt w:val="decimal"/>
      <w:suff w:val="nothing"/>
      <w:lvlText w:val="%1．"/>
      <w:lvlJc w:val="left"/>
      <w:pPr>
        <w:ind w:left="0" w:firstLine="400"/>
      </w:pPr>
      <w:rPr>
        <w:rFonts w:hint="default"/>
      </w:rPr>
    </w:lvl>
  </w:abstractNum>
  <w:abstractNum w:abstractNumId="4">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5">
    <w:nsid w:val="5971DBDD"/>
    <w:multiLevelType w:val="singleLevel"/>
    <w:tmpl w:val="5971DBDD"/>
    <w:lvl w:ilvl="0" w:tentative="0">
      <w:start w:val="1"/>
      <w:numFmt w:val="chineseCounting"/>
      <w:suff w:val="nothing"/>
      <w:lvlText w:val="（%1）"/>
      <w:lvlJc w:val="left"/>
      <w:pPr>
        <w:ind w:left="0" w:firstLine="420"/>
      </w:pPr>
      <w:rPr>
        <w:rFonts w:hint="eastAsia"/>
      </w:rPr>
    </w:lvl>
  </w:abstractNum>
  <w:abstractNum w:abstractNumId="6">
    <w:nsid w:val="5971DD00"/>
    <w:multiLevelType w:val="singleLevel"/>
    <w:tmpl w:val="5971DD00"/>
    <w:lvl w:ilvl="0" w:tentative="0">
      <w:start w:val="1"/>
      <w:numFmt w:val="decimal"/>
      <w:suff w:val="nothing"/>
      <w:lvlText w:val="%1．"/>
      <w:lvlJc w:val="left"/>
      <w:pPr>
        <w:ind w:left="0" w:firstLine="400"/>
      </w:pPr>
      <w:rPr>
        <w:rFonts w:hint="default"/>
      </w:rPr>
    </w:lvl>
  </w:abstractNum>
  <w:abstractNum w:abstractNumId="7">
    <w:nsid w:val="5971E093"/>
    <w:multiLevelType w:val="singleLevel"/>
    <w:tmpl w:val="5971E093"/>
    <w:lvl w:ilvl="0" w:tentative="0">
      <w:start w:val="1"/>
      <w:numFmt w:val="chineseCounting"/>
      <w:suff w:val="nothing"/>
      <w:lvlText w:val="（%1）"/>
      <w:lvlJc w:val="left"/>
      <w:pPr>
        <w:ind w:left="0" w:firstLine="420"/>
      </w:pPr>
      <w:rPr>
        <w:rFonts w:hint="eastAsia"/>
      </w:rPr>
    </w:lvl>
  </w:abstractNum>
  <w:abstractNum w:abstractNumId="8">
    <w:nsid w:val="5971E2D2"/>
    <w:multiLevelType w:val="singleLevel"/>
    <w:tmpl w:val="5971E2D2"/>
    <w:lvl w:ilvl="0" w:tentative="0">
      <w:start w:val="1"/>
      <w:numFmt w:val="decimal"/>
      <w:suff w:val="nothing"/>
      <w:lvlText w:val="%1．"/>
      <w:lvlJc w:val="left"/>
      <w:pPr>
        <w:ind w:left="0" w:firstLine="400"/>
      </w:pPr>
      <w:rPr>
        <w:rFonts w:hint="default"/>
      </w:rPr>
    </w:lvl>
  </w:abstractNum>
  <w:abstractNum w:abstractNumId="9">
    <w:nsid w:val="5971E776"/>
    <w:multiLevelType w:val="singleLevel"/>
    <w:tmpl w:val="5971E776"/>
    <w:lvl w:ilvl="0" w:tentative="0">
      <w:start w:val="1"/>
      <w:numFmt w:val="chineseCounting"/>
      <w:suff w:val="nothing"/>
      <w:lvlText w:val="（%1）"/>
      <w:lvlJc w:val="left"/>
      <w:pPr>
        <w:ind w:left="0" w:firstLine="420"/>
      </w:pPr>
      <w:rPr>
        <w:rFonts w:hint="eastAsia"/>
      </w:rPr>
    </w:lvl>
  </w:abstractNum>
  <w:abstractNum w:abstractNumId="10">
    <w:nsid w:val="5971EDEF"/>
    <w:multiLevelType w:val="singleLevel"/>
    <w:tmpl w:val="5971EDEF"/>
    <w:lvl w:ilvl="0" w:tentative="0">
      <w:start w:val="1"/>
      <w:numFmt w:val="chineseCounting"/>
      <w:suff w:val="nothing"/>
      <w:lvlText w:val="（%1）"/>
      <w:lvlJc w:val="left"/>
      <w:pPr>
        <w:ind w:left="0" w:firstLine="420"/>
      </w:pPr>
      <w:rPr>
        <w:rFonts w:hint="eastAsia"/>
      </w:rPr>
    </w:lvl>
  </w:abstractNum>
  <w:abstractNum w:abstractNumId="11">
    <w:nsid w:val="59DF4866"/>
    <w:multiLevelType w:val="singleLevel"/>
    <w:tmpl w:val="59DF4866"/>
    <w:lvl w:ilvl="0" w:tentative="0">
      <w:start w:val="1"/>
      <w:numFmt w:val="chineseCounting"/>
      <w:suff w:val="nothing"/>
      <w:lvlText w:val="第%1部"/>
      <w:lvlJc w:val="left"/>
    </w:lvl>
  </w:abstractNum>
  <w:num w:numId="1">
    <w:abstractNumId w:val="0"/>
  </w:num>
  <w:num w:numId="2">
    <w:abstractNumId w:val="1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5A03"/>
    <w:rsid w:val="001150B0"/>
    <w:rsid w:val="00172A27"/>
    <w:rsid w:val="002929B4"/>
    <w:rsid w:val="009108DE"/>
    <w:rsid w:val="00B458CF"/>
    <w:rsid w:val="00CD71F9"/>
    <w:rsid w:val="02E46FCD"/>
    <w:rsid w:val="04453648"/>
    <w:rsid w:val="0504327A"/>
    <w:rsid w:val="05DB00B9"/>
    <w:rsid w:val="06506050"/>
    <w:rsid w:val="09BB2134"/>
    <w:rsid w:val="0CA434B9"/>
    <w:rsid w:val="0E4C156E"/>
    <w:rsid w:val="0F095976"/>
    <w:rsid w:val="10BD4691"/>
    <w:rsid w:val="11585E8B"/>
    <w:rsid w:val="153267C0"/>
    <w:rsid w:val="15492582"/>
    <w:rsid w:val="183B330E"/>
    <w:rsid w:val="18F44D57"/>
    <w:rsid w:val="1D415527"/>
    <w:rsid w:val="1E7D3B34"/>
    <w:rsid w:val="22A51050"/>
    <w:rsid w:val="283D43BA"/>
    <w:rsid w:val="29B70F08"/>
    <w:rsid w:val="2AF32161"/>
    <w:rsid w:val="2BA4769A"/>
    <w:rsid w:val="2CD06EF4"/>
    <w:rsid w:val="2DA66050"/>
    <w:rsid w:val="2F335194"/>
    <w:rsid w:val="30963758"/>
    <w:rsid w:val="32EF40CE"/>
    <w:rsid w:val="34920D5F"/>
    <w:rsid w:val="3515742C"/>
    <w:rsid w:val="35AB7798"/>
    <w:rsid w:val="372974AC"/>
    <w:rsid w:val="37515EC2"/>
    <w:rsid w:val="393A1D7F"/>
    <w:rsid w:val="3949702E"/>
    <w:rsid w:val="3BE408BA"/>
    <w:rsid w:val="3C7F703B"/>
    <w:rsid w:val="3D70189E"/>
    <w:rsid w:val="41DE3798"/>
    <w:rsid w:val="42271DDB"/>
    <w:rsid w:val="43910C0D"/>
    <w:rsid w:val="48B52937"/>
    <w:rsid w:val="48EE3EF3"/>
    <w:rsid w:val="4C1E2F28"/>
    <w:rsid w:val="4CFC29CC"/>
    <w:rsid w:val="4D6E1856"/>
    <w:rsid w:val="4D893450"/>
    <w:rsid w:val="502C04C1"/>
    <w:rsid w:val="50886839"/>
    <w:rsid w:val="50B34081"/>
    <w:rsid w:val="51DE24AB"/>
    <w:rsid w:val="5651051D"/>
    <w:rsid w:val="56EC004A"/>
    <w:rsid w:val="57E961A8"/>
    <w:rsid w:val="581E77CF"/>
    <w:rsid w:val="58A521C8"/>
    <w:rsid w:val="58B06254"/>
    <w:rsid w:val="59325D20"/>
    <w:rsid w:val="5AF25131"/>
    <w:rsid w:val="5B6B2D1A"/>
    <w:rsid w:val="5DF11739"/>
    <w:rsid w:val="600176AC"/>
    <w:rsid w:val="60114632"/>
    <w:rsid w:val="62233794"/>
    <w:rsid w:val="64D8453B"/>
    <w:rsid w:val="65332BB8"/>
    <w:rsid w:val="664A46E0"/>
    <w:rsid w:val="66755D81"/>
    <w:rsid w:val="68A121F7"/>
    <w:rsid w:val="68A9241E"/>
    <w:rsid w:val="691D6D28"/>
    <w:rsid w:val="6B6D695A"/>
    <w:rsid w:val="6F332A6E"/>
    <w:rsid w:val="6FD41D7F"/>
    <w:rsid w:val="701B7C09"/>
    <w:rsid w:val="72416639"/>
    <w:rsid w:val="738C1FE2"/>
    <w:rsid w:val="75531EF6"/>
    <w:rsid w:val="75D0003D"/>
    <w:rsid w:val="764F7877"/>
    <w:rsid w:val="7AA141FF"/>
    <w:rsid w:val="7C445B57"/>
    <w:rsid w:val="7CC064BC"/>
    <w:rsid w:val="7D713C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31"/>
    <w:basedOn w:val="4"/>
    <w:qFormat/>
    <w:uiPriority w:val="0"/>
    <w:rPr>
      <w:rFonts w:ascii="Arial" w:hAnsi="Arial" w:cs="Arial"/>
      <w:color w:val="000000"/>
      <w:sz w:val="16"/>
      <w:szCs w:val="16"/>
      <w:u w:val="none"/>
    </w:rPr>
  </w:style>
  <w:style w:type="character" w:customStyle="1" w:styleId="7">
    <w:name w:val="font01"/>
    <w:basedOn w:val="4"/>
    <w:qFormat/>
    <w:uiPriority w:val="0"/>
    <w:rPr>
      <w:rFonts w:hint="default" w:ascii="Arial" w:hAnsi="Arial" w:cs="Arial"/>
      <w:color w:val="000000"/>
      <w:sz w:val="16"/>
      <w:szCs w:val="16"/>
      <w:u w:val="none"/>
    </w:rPr>
  </w:style>
  <w:style w:type="character" w:customStyle="1" w:styleId="8">
    <w:name w:val="font41"/>
    <w:basedOn w:val="4"/>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2305</Words>
  <Characters>13142</Characters>
  <Lines>109</Lines>
  <Paragraphs>30</Paragraphs>
  <ScaleCrop>false</ScaleCrop>
  <LinksUpToDate>false</LinksUpToDate>
  <CharactersWithSpaces>15417</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2017-07-25T02:47:00Z</cp:lastPrinted>
  <dcterms:modified xsi:type="dcterms:W3CDTF">2017-10-13T03:29:35Z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