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黑体" w:hAnsi="黑体" w:eastAsia="黑体" w:cs="黑体"/>
          <w:sz w:val="52"/>
          <w:szCs w:val="52"/>
        </w:rPr>
      </w:pPr>
      <w:r>
        <w:rPr>
          <w:rFonts w:hint="eastAsia" w:ascii="隶书" w:hAnsi="隶书" w:eastAsia="隶书" w:cs="隶书"/>
          <w:sz w:val="48"/>
          <w:szCs w:val="48"/>
          <w:lang w:val="en-US" w:eastAsia="zh-CN"/>
        </w:rPr>
        <w:t>台前县质量技术监督检验测试中心</w:t>
      </w:r>
    </w:p>
    <w:p>
      <w:pPr>
        <w:jc w:val="center"/>
        <w:rPr>
          <w:rFonts w:ascii="隶书" w:hAnsi="隶书" w:eastAsia="隶书" w:cs="隶书"/>
          <w:sz w:val="52"/>
          <w:szCs w:val="52"/>
        </w:rPr>
        <w:sectPr>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52"/>
          <w:szCs w:val="52"/>
        </w:rPr>
        <w:t>2016年度部门决算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台前县质量技术监督检验测试中心</w:t>
      </w:r>
      <w:r>
        <w:rPr>
          <w:rFonts w:hint="eastAsia" w:ascii="黑体" w:hAnsi="黑体" w:eastAsia="黑体" w:cs="黑体"/>
          <w:sz w:val="32"/>
          <w:szCs w:val="32"/>
        </w:rPr>
        <w:t>概况</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val="en-US" w:eastAsia="zh-CN"/>
        </w:rPr>
        <w:t>台前县质量技术监督检验测试中心</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val="en-US" w:eastAsia="zh-CN"/>
        </w:rPr>
        <w:t>台前县质量技术监督检验测试中心</w:t>
      </w:r>
      <w:r>
        <w:rPr>
          <w:rFonts w:hint="eastAsia" w:ascii="黑体" w:hAnsi="黑体" w:eastAsia="黑体" w:cs="黑体"/>
          <w:sz w:val="32"/>
          <w:szCs w:val="32"/>
        </w:rPr>
        <w:t>2016年度部门决算情况说明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0" w:num="1"/>
          <w:rtlGutter w:val="0"/>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48"/>
          <w:szCs w:val="48"/>
        </w:rPr>
        <w:t>第一部分</w:t>
      </w:r>
      <w:r>
        <w:rPr>
          <w:rFonts w:hint="eastAsia" w:ascii="隶书" w:hAnsi="隶书" w:eastAsia="隶书" w:cs="隶书"/>
          <w:sz w:val="48"/>
          <w:szCs w:val="48"/>
          <w:lang w:val="en-US" w:eastAsia="zh-CN"/>
        </w:rPr>
        <w:t xml:space="preserve">  台前县质量技术监督检验测试中心</w:t>
      </w:r>
      <w:r>
        <w:rPr>
          <w:rFonts w:hint="eastAsia" w:ascii="隶书" w:hAnsi="隶书" w:eastAsia="隶书" w:cs="隶书"/>
          <w:sz w:val="48"/>
          <w:szCs w:val="48"/>
        </w:rPr>
        <w:t>概况</w:t>
      </w:r>
    </w:p>
    <w:p>
      <w:pPr>
        <w:numPr>
          <w:ilvl w:val="0"/>
          <w:numId w:val="1"/>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w:t>
      </w:r>
      <w:r>
        <w:rPr>
          <w:rFonts w:hint="eastAsia" w:ascii="黑体" w:hAnsi="黑体" w:eastAsia="黑体" w:cs="黑体"/>
          <w:sz w:val="32"/>
          <w:szCs w:val="32"/>
          <w:lang w:eastAsia="zh-CN"/>
        </w:rPr>
        <w:t>职责</w:t>
      </w:r>
    </w:p>
    <w:p>
      <w:pPr>
        <w:pStyle w:val="4"/>
        <w:widowControl/>
        <w:numPr>
          <w:ilvl w:val="0"/>
          <w:numId w:val="2"/>
        </w:numPr>
        <w:rPr>
          <w:rFonts w:cs="微软雅黑" w:asciiTheme="minorEastAsia" w:hAnsiTheme="minorEastAsia" w:eastAsiaTheme="minorEastAsia"/>
          <w:sz w:val="32"/>
          <w:szCs w:val="32"/>
        </w:rPr>
      </w:pPr>
      <w:r>
        <w:rPr>
          <w:rFonts w:hint="eastAsia" w:cs="微软雅黑" w:asciiTheme="minorEastAsia" w:hAnsiTheme="minorEastAsia" w:eastAsiaTheme="minorEastAsia"/>
          <w:sz w:val="32"/>
          <w:szCs w:val="32"/>
        </w:rPr>
        <w:t>部门机构设置</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台前县质量技术监督检验测试中心成立于2001年，在台前县计量所的基础上建设而成，隶属于台前县质量技术监督局，副科级单位。具有独立的法人资格，能够独立承担法律责任和民事责任。是依法设置并具有第三方公正检验地位的检测技术机构。内设3个股室，分别为质检室、衡器室、流量室。</w:t>
      </w:r>
      <w:r>
        <w:rPr>
          <w:rFonts w:hint="eastAsia" w:asciiTheme="minorEastAsia" w:hAnsiTheme="minorEastAsia" w:eastAsiaTheme="minorEastAsia"/>
          <w:sz w:val="32"/>
          <w:szCs w:val="32"/>
        </w:rPr>
        <w:t>现有在职工作人员</w:t>
      </w:r>
      <w:r>
        <w:rPr>
          <w:rFonts w:asciiTheme="minorEastAsia" w:hAnsiTheme="minorEastAsia" w:eastAsiaTheme="minorEastAsia"/>
          <w:sz w:val="32"/>
          <w:szCs w:val="32"/>
        </w:rPr>
        <w:t>19人。</w:t>
      </w:r>
    </w:p>
    <w:p>
      <w:pPr>
        <w:pStyle w:val="4"/>
        <w:widowControl/>
        <w:numPr>
          <w:ilvl w:val="0"/>
          <w:numId w:val="3"/>
        </w:numPr>
        <w:rPr>
          <w:rFonts w:cs="微软雅黑" w:asciiTheme="minorEastAsia" w:hAnsiTheme="minorEastAsia" w:eastAsiaTheme="minorEastAsia"/>
          <w:sz w:val="32"/>
          <w:szCs w:val="32"/>
        </w:rPr>
      </w:pPr>
      <w:r>
        <w:rPr>
          <w:rFonts w:hint="eastAsia" w:cs="微软雅黑" w:asciiTheme="minorEastAsia" w:hAnsiTheme="minorEastAsia" w:eastAsiaTheme="minorEastAsia"/>
          <w:sz w:val="32"/>
          <w:szCs w:val="32"/>
        </w:rPr>
        <w:t>主要职能</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为量值准确和保证产品质量提供计量检定和质量检验保障，工作计量器具强制检定、工作计量器具与计量标准器具检定测试与校准、计量技术基础建设、授权范围产品质量监督检验，仲裁检验鉴定与生产许可检验、相关委托检验与政府委托产品安全检查、在用产品安全安全性能与质量检查评价、产品继续使用性能与条件评价、计量科学、检测技术方法与标准手段研究、相关专业培训与社会服务。</w:t>
      </w:r>
    </w:p>
    <w:p>
      <w:pPr>
        <w:numPr>
          <w:ilvl w:val="0"/>
          <w:numId w:val="4"/>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val="en-US" w:eastAsia="zh-CN"/>
        </w:rPr>
        <w:t>台前县质量技术监督检验测试中心</w:t>
      </w:r>
      <w:r>
        <w:rPr>
          <w:rFonts w:hint="eastAsia" w:ascii="仿宋_GB2312" w:hAnsi="仿宋_GB2312" w:eastAsia="仿宋_GB2312" w:cs="仿宋_GB2312"/>
          <w:sz w:val="32"/>
          <w:szCs w:val="32"/>
        </w:rPr>
        <w:t>2016年度部门决算编制范围的单位包括：</w:t>
      </w:r>
    </w:p>
    <w:p>
      <w:pPr>
        <w:numPr>
          <w:ilvl w:val="0"/>
          <w:numId w:val="0"/>
        </w:numPr>
        <w:spacing w:line="360" w:lineRule="auto"/>
        <w:ind w:left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台前县质量技术监督检验测试中心</w:t>
      </w:r>
      <w:r>
        <w:rPr>
          <w:rFonts w:hint="eastAsia" w:ascii="仿宋_GB2312" w:hAnsi="仿宋_GB2312" w:eastAsia="仿宋_GB2312" w:cs="仿宋_GB2312"/>
          <w:sz w:val="32"/>
          <w:szCs w:val="32"/>
        </w:rPr>
        <w:t>本级</w:t>
      </w:r>
    </w:p>
    <w:p>
      <w:pPr>
        <w:widowControl w:val="0"/>
        <w:numPr>
          <w:ilvl w:val="0"/>
          <w:numId w:val="0"/>
        </w:numPr>
        <w:spacing w:line="360" w:lineRule="auto"/>
        <w:jc w:val="left"/>
        <w:rPr>
          <w:rFonts w:hint="eastAsia" w:ascii="仿宋_GB2312" w:hAnsi="仿宋_GB2312" w:eastAsia="仿宋_GB2312" w:cs="仿宋_GB2312"/>
          <w:sz w:val="32"/>
          <w:szCs w:val="32"/>
        </w:rPr>
      </w:pPr>
    </w:p>
    <w:p>
      <w:pPr>
        <w:widowControl w:val="0"/>
        <w:numPr>
          <w:ilvl w:val="0"/>
          <w:numId w:val="0"/>
        </w:numPr>
        <w:spacing w:line="360" w:lineRule="auto"/>
        <w:jc w:val="left"/>
        <w:rPr>
          <w:rFonts w:hint="eastAsia" w:ascii="仿宋_GB2312" w:hAnsi="仿宋_GB2312" w:eastAsia="仿宋_GB2312" w:cs="仿宋_GB2312"/>
          <w:sz w:val="32"/>
          <w:szCs w:val="32"/>
          <w:lang w:val="en-US" w:eastAsia="zh-CN"/>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lang w:val="en-US" w:eastAsia="zh-CN"/>
        </w:rPr>
        <w:t>台前县质量技术监督检验测试中心</w:t>
      </w:r>
      <w:r>
        <w:rPr>
          <w:rFonts w:hint="eastAsia" w:ascii="隶书" w:hAnsi="隶书" w:eastAsia="隶书" w:cs="隶书"/>
          <w:sz w:val="48"/>
          <w:szCs w:val="48"/>
        </w:rPr>
        <w:t>2016年度部门决算表</w:t>
      </w:r>
    </w:p>
    <w:tbl>
      <w:tblPr>
        <w:tblStyle w:val="7"/>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50" w:type="dxa"/>
            <w:gridSpan w:val="10"/>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rPr>
                <w:rFonts w:hint="eastAsia" w:ascii="宋体" w:hAnsi="宋体" w:eastAsia="宋体" w:cs="宋体"/>
                <w:i w:val="0"/>
                <w:color w:val="000000"/>
                <w:sz w:val="16"/>
                <w:szCs w:val="16"/>
                <w:u w:val="none"/>
              </w:rPr>
            </w:pP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收　　入</w:t>
            </w:r>
          </w:p>
        </w:tc>
        <w:tc>
          <w:tcPr>
            <w:tcW w:w="5280"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一、财政拨款收入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260.9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二、上级补助收入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三、事业收入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四、经营收入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五、附属单位上缴收入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六、其他收入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七、文化体育与传媒支出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二十一、其他支出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二十二、债务还本支出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二十三、债务付息支出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260.9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结余分配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年初结转和结余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年末结转和结余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4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29</w:t>
            </w:r>
          </w:p>
        </w:tc>
        <w:tc>
          <w:tcPr>
            <w:tcW w:w="243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260.9</w:t>
            </w:r>
          </w:p>
        </w:tc>
        <w:tc>
          <w:tcPr>
            <w:tcW w:w="23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49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58</w:t>
            </w:r>
          </w:p>
        </w:tc>
        <w:tc>
          <w:tcPr>
            <w:tcW w:w="2460"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035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注：本表反映部门本年度的总收支和年末结转结余情况。</w:t>
            </w:r>
          </w:p>
        </w:tc>
      </w:tr>
    </w:tbl>
    <w:p>
      <w:pPr>
        <w:spacing w:line="360" w:lineRule="auto"/>
        <w:jc w:val="both"/>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7"/>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37" w:type="dxa"/>
            <w:gridSpan w:val="1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1094"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附属单位</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功能分类</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科目编码</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86"/>
              </w:tabs>
              <w:jc w:val="center"/>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val="en-US" w:eastAsia="zh-CN"/>
              </w:rPr>
              <w:t>260.9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37"/>
              </w:tabs>
              <w:jc w:val="center"/>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val="en-US" w:eastAsia="zh-CN"/>
              </w:rPr>
              <w:t>260.9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一般公共服务支出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86"/>
              </w:tabs>
              <w:jc w:val="center"/>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val="en-US" w:eastAsia="zh-CN"/>
              </w:rPr>
              <w:t>260.9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260.9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20117</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质量技术监督与检验检疫事务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260.9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260.9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2011707</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质量技术监督技术支持</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122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122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color w:val="000000"/>
                <w:kern w:val="0"/>
                <w:sz w:val="16"/>
                <w:szCs w:val="16"/>
                <w:lang w:val="en-US" w:eastAsia="zh-CN"/>
              </w:rPr>
              <w:t>2011750</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事业运行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138.9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138.9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rtlGutter w:val="0"/>
          <w:docGrid w:type="lines" w:linePitch="317" w:charSpace="0"/>
        </w:sectPr>
      </w:pPr>
    </w:p>
    <w:tbl>
      <w:tblPr>
        <w:tblStyle w:val="7"/>
        <w:tblW w:w="10350" w:type="dxa"/>
        <w:tblInd w:w="-821" w:type="dxa"/>
        <w:tblLayout w:type="fixed"/>
        <w:tblCellMar>
          <w:top w:w="15" w:type="dxa"/>
          <w:left w:w="15" w:type="dxa"/>
          <w:bottom w:w="15" w:type="dxa"/>
          <w:right w:w="15" w:type="dxa"/>
        </w:tblCellMar>
      </w:tblPr>
      <w:tblGrid>
        <w:gridCol w:w="735"/>
        <w:gridCol w:w="52"/>
        <w:gridCol w:w="695"/>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5"/>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合计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86"/>
              </w:tabs>
              <w:jc w:val="center"/>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260.9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37"/>
              </w:tabs>
              <w:jc w:val="center"/>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260.9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201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86"/>
              </w:tabs>
              <w:jc w:val="center"/>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260.9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260.9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20117</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质量技术监督与检验检疫事务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260.9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260.9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2011707</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质量技术监督技术支持</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122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122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2011750</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事业运行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138.9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138.9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rtlGutter w:val="0"/>
          <w:docGrid w:type="lines" w:linePitch="318" w:charSpace="0"/>
        </w:sectPr>
      </w:pPr>
    </w:p>
    <w:tbl>
      <w:tblPr>
        <w:tblStyle w:val="7"/>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Layout w:type="fixed"/>
          <w:tblCellMar>
            <w:top w:w="15" w:type="dxa"/>
            <w:left w:w="15" w:type="dxa"/>
            <w:bottom w:w="15" w:type="dxa"/>
            <w:right w:w="15" w:type="dxa"/>
          </w:tblCellMar>
        </w:tblPrEx>
        <w:trPr>
          <w:trHeight w:val="90"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69"/>
                <w:tab w:val="right" w:pos="164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260.9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260.9</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260.9</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260.9</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260.9</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260.9</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635"/>
                <w:tab w:val="right" w:pos="147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260.9</w:t>
            </w:r>
          </w:p>
        </w:tc>
        <w:tc>
          <w:tcPr>
            <w:tcW w:w="20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260.9</w:t>
            </w:r>
          </w:p>
        </w:tc>
        <w:tc>
          <w:tcPr>
            <w:tcW w:w="130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260.9</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95" w:hRule="atLeast"/>
        </w:trPr>
        <w:tc>
          <w:tcPr>
            <w:tcW w:w="10425"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7"/>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8"/>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1891" w:type="dxa"/>
            <w:gridSpan w:val="2"/>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260.9</w:t>
            </w:r>
            <w:r>
              <w:rPr>
                <w:rFonts w:hint="eastAsia" w:ascii="宋体" w:hAnsi="宋体" w:eastAsia="宋体" w:cs="宋体"/>
                <w:b/>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138.9</w:t>
            </w:r>
            <w:r>
              <w:rPr>
                <w:rFonts w:hint="eastAsia" w:ascii="宋体" w:hAnsi="宋体" w:eastAsia="宋体" w:cs="宋体"/>
                <w:b/>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122</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201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一般公共服务支出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260.9</w:t>
            </w:r>
            <w:r>
              <w:rPr>
                <w:rFonts w:hint="eastAsia" w:ascii="宋体" w:hAnsi="宋体" w:eastAsia="宋体" w:cs="宋体"/>
                <w:b/>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138.9</w:t>
            </w:r>
            <w:r>
              <w:rPr>
                <w:rFonts w:hint="eastAsia" w:ascii="宋体" w:hAnsi="宋体" w:eastAsia="宋体" w:cs="宋体"/>
                <w:b/>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122</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20117</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质量技术监督与检验检疫事务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260.9</w:t>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138.9</w:t>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122</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2011707</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质量技术监督技术支持</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122</w:t>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122</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2011750</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事业运行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138.9</w:t>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138.9</w:t>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440" w:type="dxa"/>
            <w:gridSpan w:val="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7"/>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93.8</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21.9</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31.8</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3.1</w:t>
            </w:r>
          </w:p>
        </w:tc>
      </w:tr>
      <w:tr>
        <w:tblPrEx>
          <w:tblLayout w:type="fixed"/>
          <w:tblCellMar>
            <w:top w:w="15" w:type="dxa"/>
            <w:left w:w="15" w:type="dxa"/>
            <w:bottom w:w="15" w:type="dxa"/>
            <w:right w:w="15" w:type="dxa"/>
          </w:tblCellMar>
        </w:tblPrEx>
        <w:trPr>
          <w:trHeight w:val="354"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44.9</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1.7</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4.39</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0.06</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12.6</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0.2</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23.2</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2.1</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0.8</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0.5</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4.7</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3.6</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77" w:hRule="atLeast"/>
        </w:trPr>
        <w:tc>
          <w:tcPr>
            <w:tcW w:w="10485"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7"/>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keepNext w:val="0"/>
              <w:keepLines w:val="0"/>
              <w:widowControl/>
              <w:suppressLineNumbers w:val="0"/>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12.3</w:t>
            </w:r>
          </w:p>
        </w:tc>
        <w:tc>
          <w:tcPr>
            <w:tcW w:w="9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7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38.7</w:t>
            </w:r>
          </w:p>
        </w:tc>
        <w:tc>
          <w:tcPr>
            <w:tcW w:w="8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12</w:t>
            </w: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0.3</w:t>
            </w: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5.3</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5.3</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5.3</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rPr>
            </w:pPr>
            <w:r>
              <w:rPr>
                <w:rFonts w:hint="eastAsia" w:ascii="宋体" w:hAnsi="宋体" w:eastAsia="宋体" w:cs="宋体"/>
                <w:i w:val="0"/>
                <w:color w:val="000000"/>
                <w:sz w:val="16"/>
                <w:szCs w:val="16"/>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7"/>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资助城市影院</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i w:val="0"/>
                <w:color w:val="FF0000"/>
                <w:kern w:val="0"/>
                <w:sz w:val="20"/>
                <w:szCs w:val="20"/>
                <w:u w:val="none"/>
                <w:lang w:val="en-US" w:eastAsia="zh-CN" w:bidi="ar"/>
              </w:rPr>
              <w:t>（该报表全部数据为零时）</w:t>
            </w:r>
            <w:r>
              <w:rPr>
                <w:rFonts w:hint="eastAsia" w:ascii="宋体" w:hAnsi="宋体" w:eastAsia="宋体" w:cs="宋体"/>
                <w:b/>
                <w:color w:val="FF0000"/>
                <w:kern w:val="0"/>
                <w:sz w:val="20"/>
                <w:szCs w:val="20"/>
              </w:rPr>
              <w:t>说明：xx</w:t>
            </w:r>
            <w:r>
              <w:rPr>
                <w:rFonts w:hint="eastAsia" w:ascii="宋体" w:hAnsi="宋体" w:eastAsia="宋体" w:cs="宋体"/>
                <w:b/>
                <w:color w:val="FF0000"/>
                <w:kern w:val="0"/>
                <w:sz w:val="20"/>
                <w:szCs w:val="20"/>
                <w:lang w:eastAsia="zh-CN"/>
              </w:rPr>
              <w:t>局</w:t>
            </w:r>
            <w:r>
              <w:rPr>
                <w:rFonts w:hint="eastAsia" w:ascii="宋体" w:hAnsi="宋体" w:eastAsia="宋体" w:cs="宋体"/>
                <w:b/>
                <w:color w:val="FF0000"/>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lang w:val="en-US" w:eastAsia="zh-CN"/>
        </w:rPr>
        <w:t>台前县质量技术监督检验测试中心</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2016年度部门决算情况说明</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260.9</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260.9</w:t>
      </w:r>
      <w:r>
        <w:rPr>
          <w:rFonts w:hint="eastAsia" w:ascii="仿宋_GB2312" w:hAnsi="宋体" w:eastAsia="仿宋_GB2312" w:cs="Courier New"/>
          <w:sz w:val="32"/>
          <w:szCs w:val="32"/>
        </w:rPr>
        <w:t>万元，与2015年相比，收、支总计各增加</w:t>
      </w:r>
      <w:r>
        <w:rPr>
          <w:rFonts w:hint="eastAsia" w:ascii="仿宋_GB2312" w:hAnsi="宋体" w:eastAsia="仿宋_GB2312" w:cs="Courier New"/>
          <w:sz w:val="32"/>
          <w:szCs w:val="32"/>
          <w:lang w:val="en-US" w:eastAsia="zh-CN"/>
        </w:rPr>
        <w:t>15</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0.06</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260.9</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260.9</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rPr>
        <w:t>；事业收入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；经营收入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；其他收入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w:t>
      </w:r>
      <w:r>
        <w:rPr>
          <w:rFonts w:hint="eastAsia" w:ascii="仿宋_GB2312" w:hAnsi="宋体" w:eastAsia="仿宋_GB2312" w:cs="Courier New"/>
          <w:sz w:val="32"/>
          <w:szCs w:val="32"/>
          <w:lang w:val="en-US" w:eastAsia="zh-CN"/>
        </w:rPr>
        <w:t>260.9</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138.9</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53.2</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122</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46.8</w:t>
      </w:r>
      <w:r>
        <w:rPr>
          <w:rFonts w:hint="eastAsia" w:ascii="仿宋_GB2312" w:hAnsi="宋体" w:eastAsia="仿宋_GB2312" w:cs="Courier New"/>
          <w:sz w:val="32"/>
          <w:szCs w:val="32"/>
        </w:rPr>
        <w:t>%；经营支出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2016年财政拨款收支总决算</w:t>
      </w:r>
      <w:r>
        <w:rPr>
          <w:rFonts w:hint="eastAsia" w:ascii="仿宋_GB2312" w:hAnsi="宋体" w:eastAsia="仿宋_GB2312" w:cs="Courier New"/>
          <w:sz w:val="32"/>
          <w:szCs w:val="32"/>
          <w:lang w:val="en-US" w:eastAsia="zh-CN"/>
        </w:rPr>
        <w:t>260.9</w:t>
      </w:r>
      <w:r>
        <w:rPr>
          <w:rFonts w:hint="eastAsia" w:ascii="仿宋_GB2312" w:hAnsi="宋体" w:eastAsia="仿宋_GB2312" w:cs="Courier New"/>
          <w:sz w:val="32"/>
          <w:szCs w:val="32"/>
        </w:rPr>
        <w:t>万元。与2015年相比，收、支总计各增加</w:t>
      </w:r>
      <w:r>
        <w:rPr>
          <w:rFonts w:hint="eastAsia" w:ascii="仿宋_GB2312" w:hAnsi="宋体" w:eastAsia="仿宋_GB2312" w:cs="Courier New"/>
          <w:sz w:val="32"/>
          <w:szCs w:val="32"/>
          <w:lang w:val="en-US" w:eastAsia="zh-CN"/>
        </w:rPr>
        <w:t>15</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0.06</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2016年一般公共预算财政拨款支出</w:t>
      </w:r>
      <w:r>
        <w:rPr>
          <w:rFonts w:hint="eastAsia" w:ascii="仿宋_GB2312" w:hAnsi="宋体" w:eastAsia="仿宋_GB2312" w:cs="Courier New"/>
          <w:sz w:val="32"/>
          <w:szCs w:val="32"/>
          <w:lang w:val="en-US" w:eastAsia="zh-CN"/>
        </w:rPr>
        <w:t>260.9</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%。与2015年相比，增加</w:t>
      </w:r>
      <w:r>
        <w:rPr>
          <w:rFonts w:hint="eastAsia" w:ascii="仿宋_GB2312" w:hAnsi="宋体" w:eastAsia="仿宋_GB2312" w:cs="Courier New"/>
          <w:sz w:val="32"/>
          <w:szCs w:val="32"/>
          <w:lang w:val="en-US" w:eastAsia="zh-CN"/>
        </w:rPr>
        <w:t>15</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0.06</w:t>
      </w:r>
      <w:r>
        <w:rPr>
          <w:rFonts w:hint="eastAsia" w:ascii="仿宋_GB2312" w:hAnsi="宋体" w:eastAsia="仿宋_GB2312" w:cs="Courier New"/>
          <w:sz w:val="32"/>
          <w:szCs w:val="32"/>
        </w:rPr>
        <w:t>%。</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260.9</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260.9</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133.6</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260.9</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195</w:t>
      </w:r>
      <w:r>
        <w:rPr>
          <w:rFonts w:hint="eastAsia" w:ascii="仿宋_GB2312" w:hAnsi="宋体" w:eastAsia="仿宋_GB2312" w:cs="Courier New"/>
          <w:sz w:val="32"/>
          <w:szCs w:val="32"/>
        </w:rPr>
        <w:t>%。决算数大于预算数的主要原因</w:t>
      </w:r>
      <w:r>
        <w:rPr>
          <w:rFonts w:hint="eastAsia" w:ascii="仿宋_GB2312" w:hAnsi="宋体" w:eastAsia="仿宋_GB2312" w:cs="Courier New"/>
          <w:sz w:val="32"/>
          <w:szCs w:val="32"/>
          <w:lang w:val="en-US" w:eastAsia="zh-CN"/>
        </w:rPr>
        <w:t>是工资制度改革，人员经费支出加大，</w:t>
      </w:r>
      <w:r>
        <w:rPr>
          <w:rFonts w:hint="eastAsia" w:ascii="仿宋_GB2312" w:hAnsi="宋体" w:eastAsia="仿宋_GB2312" w:cs="Courier New"/>
          <w:sz w:val="32"/>
          <w:szCs w:val="32"/>
        </w:rPr>
        <w:t>其中：</w:t>
      </w:r>
    </w:p>
    <w:p>
      <w:pPr>
        <w:numPr>
          <w:ilvl w:val="0"/>
          <w:numId w:val="7"/>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一般公共服务（类）财政事务（款）行政运行（项）。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133.6</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260.9</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195</w:t>
      </w:r>
      <w:r>
        <w:rPr>
          <w:rFonts w:hint="eastAsia" w:ascii="仿宋_GB2312" w:hAnsi="宋体" w:eastAsia="仿宋_GB2312" w:cs="Courier New"/>
          <w:sz w:val="32"/>
          <w:szCs w:val="32"/>
        </w:rPr>
        <w:t>%。决算数大于预算数的主要原因是</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一是工资制度改革，人员经费支出加大，二是</w:t>
      </w:r>
      <w:r>
        <w:rPr>
          <w:rFonts w:hint="eastAsia" w:ascii="仿宋_GB2312" w:hAnsi="宋体" w:eastAsia="仿宋_GB2312" w:cs="Courier New"/>
          <w:sz w:val="32"/>
          <w:szCs w:val="32"/>
        </w:rPr>
        <w:t>中心检测标准增多，业务量加大，下乡检测业务增多。</w:t>
      </w:r>
    </w:p>
    <w:p>
      <w:pPr>
        <w:numPr>
          <w:ilvl w:val="0"/>
          <w:numId w:val="7"/>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一般公共服务（类）财政事务（款）一般行政管理事务（项）。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2016年一般公共预算财政拨款基本支出</w:t>
      </w:r>
      <w:r>
        <w:rPr>
          <w:rFonts w:hint="eastAsia" w:ascii="仿宋_GB2312" w:hAnsi="宋体" w:eastAsia="仿宋_GB2312" w:cs="Courier New"/>
          <w:sz w:val="32"/>
          <w:szCs w:val="32"/>
          <w:lang w:val="en-US" w:eastAsia="zh-CN"/>
        </w:rPr>
        <w:t>138.9</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117</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主要包括：基本工资、津贴补贴、绩效工资</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社保缴费、退休费、抚恤金、医疗费、住房公积金</w:t>
      </w:r>
      <w:r>
        <w:rPr>
          <w:rFonts w:hint="eastAsia" w:ascii="仿宋_GB2312" w:hAnsi="宋体" w:eastAsia="仿宋_GB2312" w:cs="Courier New"/>
          <w:sz w:val="32"/>
          <w:szCs w:val="32"/>
        </w:rPr>
        <w:t>；</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21.9</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印刷费、手续费、水费、电费、邮电费、物业管理费、差旅费、维修维护费、租赁费、培训费、专用材料费、劳务费、委托业务费</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8"/>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2016年度“三公”经费财政拨款支出预算为</w:t>
      </w:r>
      <w:r>
        <w:rPr>
          <w:rFonts w:hint="eastAsia" w:ascii="仿宋_GB2312" w:hAnsi="宋体" w:eastAsia="仿宋_GB2312" w:cs="Courier New"/>
          <w:sz w:val="32"/>
          <w:szCs w:val="32"/>
          <w:lang w:val="en-US" w:eastAsia="zh-CN"/>
        </w:rPr>
        <w:t>12.3</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5.3</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43.1</w:t>
      </w:r>
      <w:r>
        <w:rPr>
          <w:rFonts w:hint="eastAsia" w:ascii="仿宋_GB2312" w:hAnsi="宋体" w:eastAsia="仿宋_GB2312" w:cs="Courier New"/>
          <w:sz w:val="32"/>
          <w:szCs w:val="32"/>
        </w:rPr>
        <w:t>%，其中：因公出国（境）费支出决算为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%；公务用车购置及运行费支出决算为</w:t>
      </w:r>
      <w:r>
        <w:rPr>
          <w:rFonts w:hint="eastAsia" w:ascii="仿宋_GB2312" w:hAnsi="宋体" w:eastAsia="仿宋_GB2312" w:cs="Courier New"/>
          <w:sz w:val="32"/>
          <w:szCs w:val="32"/>
          <w:lang w:val="en-US" w:eastAsia="zh-CN"/>
        </w:rPr>
        <w:t>5.3</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43.1</w:t>
      </w:r>
      <w:r>
        <w:rPr>
          <w:rFonts w:hint="eastAsia" w:ascii="仿宋_GB2312" w:hAnsi="宋体" w:eastAsia="仿宋_GB2312" w:cs="Courier New"/>
          <w:sz w:val="32"/>
          <w:szCs w:val="32"/>
        </w:rPr>
        <w:t>%；公务接待费支出决算为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与2015年相比减少5.04万元，其中公务接待费减少0.14万元，</w:t>
      </w:r>
      <w:r>
        <w:rPr>
          <w:rFonts w:hint="eastAsia" w:ascii="仿宋_GB2312" w:hAnsi="宋体" w:eastAsia="仿宋_GB2312" w:cs="Courier New"/>
          <w:sz w:val="32"/>
          <w:szCs w:val="32"/>
        </w:rPr>
        <w:t>公务用车购置及运行费</w:t>
      </w:r>
      <w:r>
        <w:rPr>
          <w:rFonts w:hint="eastAsia" w:ascii="仿宋_GB2312" w:hAnsi="宋体" w:eastAsia="仿宋_GB2312" w:cs="Courier New"/>
          <w:sz w:val="32"/>
          <w:szCs w:val="32"/>
          <w:lang w:val="en-US" w:eastAsia="zh-CN"/>
        </w:rPr>
        <w:t>减少4.9万元。</w:t>
      </w:r>
    </w:p>
    <w:p>
      <w:pPr>
        <w:numPr>
          <w:ilvl w:val="0"/>
          <w:numId w:val="8"/>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2016年度“三公”经费财政拨款支出决算中，因公出国（境）费支出决算</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%；公务用车购置及运行费支出决算</w:t>
      </w:r>
      <w:r>
        <w:rPr>
          <w:rFonts w:hint="eastAsia" w:ascii="仿宋_GB2312" w:hAnsi="宋体" w:eastAsia="仿宋_GB2312" w:cs="Courier New"/>
          <w:sz w:val="32"/>
          <w:szCs w:val="32"/>
          <w:lang w:val="en-US" w:eastAsia="zh-CN"/>
        </w:rPr>
        <w:t>5.3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%。具体情况如下：</w:t>
      </w:r>
    </w:p>
    <w:p>
      <w:pPr>
        <w:numPr>
          <w:ilvl w:val="0"/>
          <w:numId w:val="9"/>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因公出国（境）费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万元。全年安排</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机关因公出国（境）团组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个，累计</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人次。</w:t>
      </w:r>
    </w:p>
    <w:p>
      <w:pPr>
        <w:numPr>
          <w:ilvl w:val="0"/>
          <w:numId w:val="9"/>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公务用车购置及运行费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5.3</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5.3</w:t>
      </w:r>
      <w:r>
        <w:rPr>
          <w:rFonts w:hint="eastAsia" w:ascii="仿宋_GB2312" w:hAnsi="宋体" w:eastAsia="仿宋_GB2312" w:cs="Courier New"/>
          <w:sz w:val="32"/>
          <w:szCs w:val="32"/>
        </w:rPr>
        <w:t>万元。主要用于</w:t>
      </w:r>
      <w:r>
        <w:rPr>
          <w:rFonts w:hint="eastAsia" w:ascii="仿宋_GB2312" w:hAnsi="宋体" w:eastAsia="仿宋_GB2312" w:cs="Courier New"/>
          <w:sz w:val="32"/>
          <w:szCs w:val="32"/>
          <w:lang w:val="en-US" w:eastAsia="zh-CN"/>
        </w:rPr>
        <w:t>执检测业务下乡</w:t>
      </w: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val="en-US" w:eastAsia="zh-CN"/>
        </w:rPr>
        <w:t>台前县质量技术监督检验测试中心</w:t>
      </w:r>
      <w:r>
        <w:rPr>
          <w:rFonts w:hint="eastAsia" w:ascii="仿宋_GB2312" w:hAnsi="宋体" w:eastAsia="仿宋_GB2312" w:cs="Courier New"/>
          <w:sz w:val="32"/>
          <w:szCs w:val="32"/>
        </w:rPr>
        <w:t>公务用车保有量为</w:t>
      </w:r>
      <w:r>
        <w:rPr>
          <w:rFonts w:hint="eastAsia" w:ascii="仿宋_GB2312" w:hAnsi="宋体" w:eastAsia="仿宋_GB2312" w:cs="Courier New"/>
          <w:sz w:val="32"/>
          <w:szCs w:val="32"/>
          <w:lang w:val="en-US" w:eastAsia="zh-CN"/>
        </w:rPr>
        <w:t>1辆，特种作业车辆1辆</w:t>
      </w:r>
      <w:r>
        <w:rPr>
          <w:rFonts w:hint="eastAsia" w:ascii="仿宋_GB2312" w:hAnsi="宋体" w:eastAsia="仿宋_GB2312" w:cs="Courier New"/>
          <w:sz w:val="32"/>
          <w:szCs w:val="32"/>
        </w:rPr>
        <w:t>。</w:t>
      </w:r>
    </w:p>
    <w:p>
      <w:pPr>
        <w:numPr>
          <w:ilvl w:val="0"/>
          <w:numId w:val="9"/>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r>
        <w:rPr>
          <w:rFonts w:hint="eastAsia" w:ascii="仿宋_GB2312" w:hAnsi="宋体" w:eastAsia="仿宋_GB2312" w:cs="Courier New"/>
          <w:b/>
          <w:bCs/>
          <w:sz w:val="32"/>
          <w:szCs w:val="32"/>
        </w:rPr>
        <w:t>公务接待费支出</w:t>
      </w:r>
      <w:r>
        <w:rPr>
          <w:rFonts w:hint="eastAsia" w:ascii="仿宋_GB2312" w:hAnsi="宋体" w:eastAsia="仿宋_GB2312" w:cs="Courier New"/>
          <w:b/>
          <w:bCs/>
          <w:sz w:val="32"/>
          <w:szCs w:val="32"/>
          <w:lang w:val="en-US" w:eastAsia="zh-CN"/>
        </w:rPr>
        <w:t>0</w:t>
      </w:r>
      <w:r>
        <w:rPr>
          <w:rFonts w:hint="eastAsia" w:ascii="仿宋_GB2312" w:hAnsi="宋体" w:eastAsia="仿宋_GB2312" w:cs="Courier New"/>
          <w:b/>
          <w:bCs/>
          <w:sz w:val="32"/>
          <w:szCs w:val="32"/>
        </w:rPr>
        <w:t>万元。</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根据财政预算管理要求，ＸＸ</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对2016年度一般公共预算项目支出全面开展绩效自评。其中，一级项目ＸＸ个，二级项目ＸＸ个，共涉及预算资金ＸＸ万元，自评覆盖率达到ＸＸ%。</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ＸＸ</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在2016年度部门决算中增加“ＸＸ”项目绩效评价结果。根据2016年年初设定的绩效目标，“ＸＸ”项目自评得分为ＸＸ分。发现的主要问题：……。下一步改进措施：……。</w:t>
      </w:r>
    </w:p>
    <w:p>
      <w:pPr>
        <w:numPr>
          <w:ilvl w:val="0"/>
          <w:numId w:val="0"/>
        </w:numPr>
        <w:adjustRightInd w:val="0"/>
        <w:snapToGrid w:val="0"/>
        <w:spacing w:line="360" w:lineRule="auto"/>
        <w:ind w:leftChars="200"/>
        <w:outlineLvl w:val="1"/>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2016年度政府性基金预算财政拨款支出年初预算为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0"/>
        </w:numPr>
        <w:adjustRightInd w:val="0"/>
        <w:snapToGrid w:val="0"/>
        <w:spacing w:line="360" w:lineRule="auto"/>
        <w:ind w:leftChars="200"/>
        <w:outlineLvl w:val="1"/>
        <w:rPr>
          <w:rFonts w:ascii="黑体" w:hAnsi="黑体" w:eastAsia="黑体"/>
          <w:sz w:val="32"/>
          <w:szCs w:val="32"/>
        </w:rPr>
      </w:pPr>
      <w:r>
        <w:rPr>
          <w:rFonts w:hint="eastAsia" w:ascii="黑体" w:hAnsi="黑体" w:eastAsia="黑体"/>
          <w:sz w:val="32"/>
          <w:szCs w:val="32"/>
          <w:lang w:val="en-US" w:eastAsia="zh-CN"/>
        </w:rPr>
        <w:t>十、</w:t>
      </w:r>
      <w:r>
        <w:rPr>
          <w:rFonts w:hint="eastAsia" w:ascii="黑体" w:hAnsi="黑体" w:eastAsia="黑体"/>
          <w:sz w:val="32"/>
          <w:szCs w:val="32"/>
        </w:rPr>
        <w:t>其他重要事项的情况说明</w:t>
      </w:r>
    </w:p>
    <w:p>
      <w:pPr>
        <w:numPr>
          <w:ilvl w:val="0"/>
          <w:numId w:val="11"/>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2016年度机关运行经费支出</w:t>
      </w:r>
      <w:r>
        <w:rPr>
          <w:rFonts w:hint="eastAsia" w:ascii="仿宋_GB2312" w:hAnsi="宋体" w:eastAsia="仿宋_GB2312" w:cs="Courier New"/>
          <w:sz w:val="32"/>
          <w:szCs w:val="32"/>
          <w:lang w:val="en-US" w:eastAsia="zh-CN"/>
        </w:rPr>
        <w:t>138.9</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因本单位为2016年新成立单位，故无法与2015年数据比较</w:t>
      </w:r>
      <w:r>
        <w:rPr>
          <w:rFonts w:hint="eastAsia" w:ascii="仿宋_GB2312" w:hAnsi="宋体" w:eastAsia="仿宋_GB2312" w:cs="Courier New"/>
          <w:sz w:val="32"/>
          <w:szCs w:val="32"/>
        </w:rPr>
        <w:t>。</w:t>
      </w:r>
    </w:p>
    <w:p>
      <w:pPr>
        <w:numPr>
          <w:ilvl w:val="0"/>
          <w:numId w:val="11"/>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2016年度政府采购支出总额</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万元，其中：政府采购货物支出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万元，授予中小企业合同金额</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万元，占政府采购支出总额的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%，其中：授予小微企业合同金额</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万元，占政府采购支出总额的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11"/>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val="en-US" w:eastAsia="zh-CN"/>
        </w:rPr>
        <w:t>台前县质量技术监督检验测试中心</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w:t>
      </w:r>
      <w:r>
        <w:rPr>
          <w:rFonts w:hint="eastAsia" w:ascii="仿宋_GB2312" w:hAnsi="宋体" w:eastAsia="仿宋_GB2312" w:cs="Courier New"/>
          <w:sz w:val="32"/>
          <w:szCs w:val="32"/>
          <w:lang w:val="en-US" w:eastAsia="zh-CN"/>
        </w:rPr>
        <w:t>特种作业车辆1辆</w:t>
      </w:r>
      <w:r>
        <w:rPr>
          <w:rFonts w:hint="eastAsia" w:ascii="仿宋_GB2312" w:hAnsi="宋体" w:eastAsia="仿宋_GB2312" w:cs="Courier New"/>
          <w:sz w:val="32"/>
          <w:szCs w:val="32"/>
        </w:rPr>
        <w:t>。</w:t>
      </w:r>
    </w:p>
    <w:p>
      <w:pPr>
        <w:tabs>
          <w:tab w:val="center" w:pos="4394"/>
        </w:tabs>
        <w:jc w:val="left"/>
        <w:rPr>
          <w:lang w:val="en-US" w:eastAsia="zh-CN"/>
        </w:rPr>
        <w:sectPr>
          <w:pgSz w:w="11906" w:h="16838"/>
          <w:pgMar w:top="1440" w:right="1531" w:bottom="1440" w:left="1587" w:header="850" w:footer="992" w:gutter="0"/>
          <w:pgNumType w:fmt="numberInDash"/>
          <w:cols w:space="0" w:num="1"/>
          <w:rtlGutter w:val="0"/>
          <w:docGrid w:type="lines" w:linePitch="317" w:charSpace="0"/>
        </w:sectPr>
      </w:pPr>
      <w:bookmarkStart w:id="0" w:name="_GoBack"/>
      <w:bookmarkEnd w:id="0"/>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指省级财政当年拨付的资金。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w:t>
      </w:r>
      <w:r>
        <w:rPr>
          <w:rFonts w:hint="eastAsia" w:ascii="仿宋_GB2312" w:hAnsi="宋体" w:eastAsia="仿宋_GB2312" w:cs="Courier New"/>
          <w:sz w:val="32"/>
          <w:szCs w:val="32"/>
          <w:lang w:eastAsia="zh-CN"/>
        </w:rPr>
        <w:t>业务</w:t>
      </w:r>
      <w:r>
        <w:rPr>
          <w:rFonts w:hint="eastAsia" w:ascii="仿宋_GB2312" w:hAnsi="宋体" w:eastAsia="仿宋_GB2312" w:cs="Courier New"/>
          <w:sz w:val="32"/>
          <w:szCs w:val="32"/>
        </w:rPr>
        <w:t>活动及辅助活动所取得的收入。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val="0"/>
          <w:bCs w:val="0"/>
          <w:sz w:val="32"/>
          <w:szCs w:val="32"/>
          <w:highlight w:val="none"/>
        </w:rPr>
      </w:pPr>
      <w:r>
        <w:rPr>
          <w:rFonts w:hint="eastAsia" w:ascii="仿宋_GB2312" w:hAnsi="宋体" w:eastAsia="仿宋_GB2312" w:cs="Courier New"/>
          <w:b/>
          <w:bCs/>
          <w:sz w:val="32"/>
          <w:szCs w:val="32"/>
          <w:highlight w:val="none"/>
        </w:rPr>
        <w:t>三、其他收入：</w:t>
      </w:r>
      <w:r>
        <w:rPr>
          <w:rFonts w:hint="eastAsia" w:ascii="仿宋_GB2312" w:hAnsi="宋体" w:eastAsia="仿宋_GB2312" w:cs="Courier New"/>
          <w:b w:val="0"/>
          <w:bCs w:val="0"/>
          <w:sz w:val="32"/>
          <w:szCs w:val="32"/>
          <w:highlight w:val="none"/>
        </w:rPr>
        <w:t>指</w:t>
      </w:r>
      <w:r>
        <w:rPr>
          <w:rFonts w:hint="eastAsia" w:ascii="仿宋_GB2312" w:hAnsi="宋体" w:eastAsia="仿宋_GB2312" w:cs="Courier New"/>
          <w:b w:val="0"/>
          <w:bCs w:val="0"/>
          <w:sz w:val="32"/>
          <w:szCs w:val="32"/>
          <w:highlight w:val="none"/>
          <w:lang w:eastAsia="zh-CN"/>
        </w:rPr>
        <w:t>本部门取得的</w:t>
      </w:r>
      <w:r>
        <w:rPr>
          <w:rFonts w:hint="eastAsia" w:ascii="仿宋_GB2312" w:hAnsi="宋体" w:eastAsia="仿宋_GB2312" w:cs="Courier New"/>
          <w:b w:val="0"/>
          <w:bCs w:val="0"/>
          <w:sz w:val="32"/>
          <w:szCs w:val="32"/>
          <w:highlight w:val="none"/>
        </w:rPr>
        <w:t>除“财政拨款</w:t>
      </w:r>
      <w:r>
        <w:rPr>
          <w:rFonts w:hint="eastAsia" w:ascii="仿宋_GB2312" w:hAnsi="宋体" w:eastAsia="仿宋_GB2312" w:cs="Courier New"/>
          <w:b w:val="0"/>
          <w:bCs w:val="0"/>
          <w:sz w:val="32"/>
          <w:szCs w:val="32"/>
          <w:highlight w:val="none"/>
          <w:lang w:eastAsia="zh-CN"/>
        </w:rPr>
        <w:t>收入</w:t>
      </w:r>
      <w:r>
        <w:rPr>
          <w:rFonts w:hint="eastAsia" w:ascii="仿宋_GB2312" w:hAnsi="宋体" w:eastAsia="仿宋_GB2312" w:cs="Courier New"/>
          <w:b w:val="0"/>
          <w:bCs w:val="0"/>
          <w:sz w:val="32"/>
          <w:szCs w:val="32"/>
          <w:highlight w:val="none"/>
        </w:rPr>
        <w:t>”、“事业收入”、“经营收入”等以外的收入。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highlight w:val="none"/>
        </w:rPr>
      </w:pPr>
      <w:r>
        <w:rPr>
          <w:rFonts w:hint="eastAsia" w:ascii="仿宋_GB2312" w:hAnsi="宋体" w:eastAsia="仿宋_GB2312" w:cs="Courier New"/>
          <w:b/>
          <w:bCs/>
          <w:sz w:val="32"/>
          <w:szCs w:val="32"/>
        </w:rPr>
        <w:t>四、</w:t>
      </w:r>
      <w:r>
        <w:rPr>
          <w:rFonts w:hint="eastAsia" w:ascii="仿宋_GB2312" w:hAnsi="宋体" w:eastAsia="仿宋_GB2312" w:cs="Courier New"/>
          <w:b/>
          <w:bCs/>
          <w:sz w:val="32"/>
          <w:szCs w:val="32"/>
          <w:highlight w:val="none"/>
        </w:rPr>
        <w:t>年末结转和结余：</w:t>
      </w:r>
      <w:r>
        <w:rPr>
          <w:rFonts w:hint="eastAsia" w:ascii="仿宋_GB2312" w:hAnsi="宋体" w:eastAsia="仿宋_GB2312" w:cs="Courier New"/>
          <w:b w:val="0"/>
          <w:bCs w:val="0"/>
          <w:sz w:val="32"/>
          <w:szCs w:val="32"/>
          <w:highlight w:val="none"/>
        </w:rPr>
        <w:t>指本年度或以前年度预算安排、因客观条件发生变化无法按原计划实施，需延迟到以后年度按有关规定继续使用的资金</w:t>
      </w:r>
      <w:r>
        <w:rPr>
          <w:rFonts w:hint="eastAsia" w:ascii="仿宋_GB2312" w:hAnsi="宋体" w:eastAsia="仿宋_GB2312" w:cs="Courier New"/>
          <w:sz w:val="32"/>
          <w:szCs w:val="32"/>
          <w:highlight w:val="none"/>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val="en-US" w:eastAsia="zh-CN"/>
        </w:rPr>
        <w:t>五</w:t>
      </w:r>
      <w:r>
        <w:rPr>
          <w:rFonts w:hint="eastAsia" w:ascii="仿宋_GB2312" w:hAnsi="宋体" w:eastAsia="仿宋_GB2312" w:cs="Courier New"/>
          <w:b/>
          <w:bCs/>
          <w:sz w:val="32"/>
          <w:szCs w:val="32"/>
        </w:rPr>
        <w:t>、基本支出：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val="en-US" w:eastAsia="zh-CN"/>
        </w:rPr>
        <w:t>六</w:t>
      </w:r>
      <w:r>
        <w:rPr>
          <w:rFonts w:hint="eastAsia" w:ascii="仿宋_GB2312" w:hAnsi="宋体" w:eastAsia="仿宋_GB2312" w:cs="Courier New"/>
          <w:b/>
          <w:bCs/>
          <w:sz w:val="32"/>
          <w:szCs w:val="32"/>
        </w:rPr>
        <w:t>、项目支出：</w:t>
      </w:r>
      <w:r>
        <w:rPr>
          <w:rFonts w:hint="eastAsia" w:ascii="仿宋_GB2312" w:hAnsi="宋体" w:eastAsia="仿宋_GB2312" w:cs="Courier New"/>
          <w:sz w:val="32"/>
          <w:szCs w:val="32"/>
        </w:rPr>
        <w:t>指在基本支出之外为完成特定行政任务和事业发展目标所发生的支出</w:t>
      </w:r>
    </w:p>
    <w:p>
      <w:pPr>
        <w:kinsoku w:val="0"/>
        <w:overflowPunct w:val="0"/>
        <w:autoSpaceDE w:val="0"/>
        <w:autoSpaceDN w:val="0"/>
        <w:adjustRightInd w:val="0"/>
        <w:snapToGrid w:val="0"/>
        <w:spacing w:line="360" w:lineRule="auto"/>
        <w:ind w:firstLine="643" w:firstLineChars="200"/>
        <w:jc w:val="left"/>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七</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纳入省级财政预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八</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rPr>
          <w:rFonts w:hint="eastAsia" w:ascii="仿宋_GB2312" w:hAnsi="宋体" w:eastAsia="仿宋_GB2312" w:cs="Courier New"/>
          <w:sz w:val="52"/>
          <w:szCs w:val="52"/>
          <w:highlight w:val="yellow"/>
          <w:lang w:val="en-US" w:eastAsia="zh-CN"/>
        </w:rPr>
      </w:pPr>
    </w:p>
    <w:sectPr>
      <w:pgSz w:w="11906" w:h="16838"/>
      <w:pgMar w:top="1440" w:right="1531" w:bottom="1440" w:left="1587"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方正小标宋简体">
    <w:altName w:val="黑体"/>
    <w:panose1 w:val="02010601030101010101"/>
    <w:charset w:val="86"/>
    <w:family w:val="script"/>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Lucida Console"/>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Lucida Console"/>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icrosoft JhengHei">
    <w:panose1 w:val="020B0604030504040204"/>
    <w:charset w:val="88"/>
    <w:family w:val="auto"/>
    <w:pitch w:val="default"/>
    <w:sig w:usb0="000002A7" w:usb1="28CF4400" w:usb2="00000016" w:usb3="00000000" w:csb0="00100009" w:csb1="00000000"/>
  </w:font>
  <w:font w:name="MingLiU">
    <w:altName w:val="PMingLiU-ExtB"/>
    <w:panose1 w:val="02020309000000000000"/>
    <w:charset w:val="88"/>
    <w:family w:val="auto"/>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0" w:usb3="00000000" w:csb0="4002009F" w:csb1="DFD7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altName w:val="Tahoma"/>
    <w:panose1 w:val="02010803020104030203"/>
    <w:charset w:val="00"/>
    <w:family w:val="auto"/>
    <w:pitch w:val="default"/>
    <w:sig w:usb0="00000000" w:usb1="00000000" w:usb2="00000000" w:usb3="00000000" w:csb0="00000020" w:csb1="00200000"/>
  </w:font>
  <w:font w:name="Agency FB">
    <w:panose1 w:val="020B05030202020202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300000000000000"/>
    <w:charset w:val="88"/>
    <w:family w:val="auto"/>
    <w:pitch w:val="default"/>
    <w:sig w:usb0="00000000" w:usb1="00000000" w:usb2="00000016" w:usb3="00000000" w:csb0="00100001" w:csb1="00000000"/>
  </w:font>
  <w:font w:name="MS UI Gothic">
    <w:panose1 w:val="020B0600070205080204"/>
    <w:charset w:val="80"/>
    <w:family w:val="auto"/>
    <w:pitch w:val="default"/>
    <w:sig w:usb0="E00002FF" w:usb1="6AC7FDFB" w:usb2="08000012" w:usb3="00000000" w:csb0="4002009F" w:csb1="DFD70000"/>
  </w:font>
  <w:font w:name="MS PMincho">
    <w:altName w:val="Yu Gothic UI"/>
    <w:panose1 w:val="02020600040205080304"/>
    <w:charset w:val="80"/>
    <w:family w:val="auto"/>
    <w:pitch w:val="default"/>
    <w:sig w:usb0="00000000" w:usb1="00000000" w:usb2="00000010" w:usb3="00000000" w:csb0="4002009F" w:csb1="DFD70000"/>
  </w:font>
  <w:font w:name="MS Outlook">
    <w:panose1 w:val="05010100010000000000"/>
    <w:charset w:val="00"/>
    <w:family w:val="auto"/>
    <w:pitch w:val="default"/>
    <w:sig w:usb0="00000000" w:usb1="00000000" w:usb2="00000000" w:usb3="00000000" w:csb0="80000000" w:csb1="00000000"/>
  </w:font>
  <w:font w:name="Modern No. 20">
    <w:panose1 w:val="02070704070505020303"/>
    <w:charset w:val="00"/>
    <w:family w:val="auto"/>
    <w:pitch w:val="default"/>
    <w:sig w:usb0="00000003" w:usb1="00000000" w:usb2="00000000" w:usb3="00000000" w:csb0="20000001" w:csb1="00000000"/>
  </w:font>
  <w:font w:name="Miriam">
    <w:altName w:val="Yu Gothic UI"/>
    <w:panose1 w:val="020B0502050101010101"/>
    <w:charset w:val="00"/>
    <w:family w:val="auto"/>
    <w:pitch w:val="default"/>
    <w:sig w:usb0="00000000" w:usb1="00000000" w:usb2="00000000" w:usb3="00000000" w:csb0="00000020" w:csb1="00200000"/>
  </w:font>
  <w:font w:name="Microsoft Uighur">
    <w:panose1 w:val="02000000000000000000"/>
    <w:charset w:val="00"/>
    <w:family w:val="auto"/>
    <w:pitch w:val="default"/>
    <w:sig w:usb0="80002023" w:usb1="80000002" w:usb2="00000008" w:usb3="00000000" w:csb0="0000004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panose1 w:val="03020802060602070202"/>
    <w:charset w:val="00"/>
    <w:family w:val="auto"/>
    <w:pitch w:val="default"/>
    <w:sig w:usb0="00000003"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Lucida Console"/>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文星简舒同">
    <w:altName w:val="Lucida Console"/>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Lucida Console"/>
    <w:panose1 w:val="02010609000101010101"/>
    <w:charset w:val="00"/>
    <w:family w:val="auto"/>
    <w:pitch w:val="default"/>
    <w:sig w:usb0="00000000" w:usb1="00000000" w:usb2="00000000" w:usb3="00000000" w:csb0="00000000" w:csb1="00000000"/>
  </w:font>
  <w:font w:name="文星简大标宋">
    <w:altName w:val="宋体"/>
    <w:panose1 w:val="02010609000101010101"/>
    <w:charset w:val="00"/>
    <w:family w:val="auto"/>
    <w:pitch w:val="default"/>
    <w:sig w:usb0="00000000" w:usb1="00000000" w:usb2="00000000" w:usb3="00000000" w:csb0="00000000" w:csb1="00000000"/>
  </w:font>
  <w:font w:name="文星简行楷">
    <w:altName w:val="宋体"/>
    <w:panose1 w:val="02010609000101010101"/>
    <w:charset w:val="00"/>
    <w:family w:val="auto"/>
    <w:pitch w:val="default"/>
    <w:sig w:usb0="00000000" w:usb1="00000000" w:usb2="00000000" w:usb3="00000000" w:csb0="00000000" w:csb1="00000000"/>
  </w:font>
  <w:font w:name="文星简综艺">
    <w:altName w:val="Lucida Console"/>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Lucida Console"/>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687" w:usb1="00000000" w:usb2="00000000" w:usb3="00000000" w:csb0="2000009F" w:csb1="00000000"/>
  </w:font>
  <w:font w:name="Bookman Old Style">
    <w:panose1 w:val="02050604050505020204"/>
    <w:charset w:val="00"/>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Lucida Sans Unicode">
    <w:panose1 w:val="020B0602030504020204"/>
    <w:charset w:val="00"/>
    <w:family w:val="auto"/>
    <w:pitch w:val="default"/>
    <w:sig w:usb0="80001AFF" w:usb1="0000396B" w:usb2="00000000" w:usb3="00000000" w:csb0="200000BF" w:csb1="D7F70000"/>
  </w:font>
  <w:font w:name="Sylfaen">
    <w:panose1 w:val="010A0502050306030303"/>
    <w:charset w:val="00"/>
    <w:family w:val="auto"/>
    <w:pitch w:val="default"/>
    <w:sig w:usb0="04000687" w:usb1="00000000" w:usb2="00000000" w:usb3="00000000" w:csb0="2000009F" w:csb1="00000000"/>
  </w:font>
  <w:font w:name="Monotype Corsiva">
    <w:panose1 w:val="03010101010201010101"/>
    <w:charset w:val="00"/>
    <w:family w:val="auto"/>
    <w:pitch w:val="default"/>
    <w:sig w:usb0="00000287" w:usb1="00000000" w:usb2="00000000" w:usb3="00000000" w:csb0="2000009F" w:csb1="DFD7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13BED"/>
    <w:multiLevelType w:val="singleLevel"/>
    <w:tmpl w:val="56413BED"/>
    <w:lvl w:ilvl="0" w:tentative="0">
      <w:start w:val="2"/>
      <w:numFmt w:val="chineseCounting"/>
      <w:suff w:val="nothing"/>
      <w:lvlText w:val="（%1）"/>
      <w:lvlJc w:val="left"/>
    </w:lvl>
  </w:abstractNum>
  <w:abstractNum w:abstractNumId="1">
    <w:nsid w:val="5971BF59"/>
    <w:multiLevelType w:val="singleLevel"/>
    <w:tmpl w:val="5971BF59"/>
    <w:lvl w:ilvl="0" w:tentative="0">
      <w:start w:val="1"/>
      <w:numFmt w:val="chineseCounting"/>
      <w:suff w:val="nothing"/>
      <w:lvlText w:val="%1、"/>
      <w:lvlJc w:val="left"/>
      <w:pPr>
        <w:ind w:left="0" w:firstLine="420"/>
      </w:pPr>
      <w:rPr>
        <w:rFonts w:hint="eastAsia"/>
      </w:rPr>
    </w:lvl>
  </w:abstractNum>
  <w:abstractNum w:abstractNumId="2">
    <w:nsid w:val="5971C193"/>
    <w:multiLevelType w:val="singleLevel"/>
    <w:tmpl w:val="5971C193"/>
    <w:lvl w:ilvl="0" w:tentative="0">
      <w:start w:val="2"/>
      <w:numFmt w:val="chineseCounting"/>
      <w:suff w:val="nothing"/>
      <w:lvlText w:val="%1、"/>
      <w:lvlJc w:val="left"/>
    </w:lvl>
  </w:abstractNum>
  <w:abstractNum w:abstractNumId="3">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4">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5">
    <w:nsid w:val="5971DD00"/>
    <w:multiLevelType w:val="singleLevel"/>
    <w:tmpl w:val="5971DD00"/>
    <w:lvl w:ilvl="0" w:tentative="0">
      <w:start w:val="1"/>
      <w:numFmt w:val="decimal"/>
      <w:suff w:val="nothing"/>
      <w:lvlText w:val="%1．"/>
      <w:lvlJc w:val="left"/>
      <w:pPr>
        <w:ind w:left="0" w:firstLine="400"/>
      </w:pPr>
      <w:rPr>
        <w:rFonts w:hint="default"/>
      </w:rPr>
    </w:lvl>
  </w:abstractNum>
  <w:abstractNum w:abstractNumId="6">
    <w:nsid w:val="5971E093"/>
    <w:multiLevelType w:val="singleLevel"/>
    <w:tmpl w:val="5971E093"/>
    <w:lvl w:ilvl="0" w:tentative="0">
      <w:start w:val="1"/>
      <w:numFmt w:val="chineseCounting"/>
      <w:suff w:val="nothing"/>
      <w:lvlText w:val="（%1）"/>
      <w:lvlJc w:val="left"/>
      <w:pPr>
        <w:ind w:left="0" w:firstLine="420"/>
      </w:pPr>
      <w:rPr>
        <w:rFonts w:hint="eastAsia"/>
      </w:rPr>
    </w:lvl>
  </w:abstractNum>
  <w:abstractNum w:abstractNumId="7">
    <w:nsid w:val="5971E2D2"/>
    <w:multiLevelType w:val="singleLevel"/>
    <w:tmpl w:val="5971E2D2"/>
    <w:lvl w:ilvl="0" w:tentative="0">
      <w:start w:val="1"/>
      <w:numFmt w:val="decimal"/>
      <w:suff w:val="nothing"/>
      <w:lvlText w:val="%1．"/>
      <w:lvlJc w:val="left"/>
      <w:pPr>
        <w:ind w:left="0" w:firstLine="400"/>
      </w:pPr>
      <w:rPr>
        <w:rFonts w:hint="default"/>
      </w:rPr>
    </w:lvl>
  </w:abstractNum>
  <w:abstractNum w:abstractNumId="8">
    <w:nsid w:val="5971E776"/>
    <w:multiLevelType w:val="singleLevel"/>
    <w:tmpl w:val="5971E776"/>
    <w:lvl w:ilvl="0" w:tentative="0">
      <w:start w:val="1"/>
      <w:numFmt w:val="chineseCounting"/>
      <w:suff w:val="nothing"/>
      <w:lvlText w:val="（%1）"/>
      <w:lvlJc w:val="left"/>
      <w:pPr>
        <w:ind w:left="0" w:firstLine="420"/>
      </w:pPr>
      <w:rPr>
        <w:rFonts w:hint="eastAsia"/>
      </w:rPr>
    </w:lvl>
  </w:abstractNum>
  <w:abstractNum w:abstractNumId="9">
    <w:nsid w:val="5971EDEF"/>
    <w:multiLevelType w:val="singleLevel"/>
    <w:tmpl w:val="5971EDEF"/>
    <w:lvl w:ilvl="0" w:tentative="0">
      <w:start w:val="1"/>
      <w:numFmt w:val="chineseCounting"/>
      <w:suff w:val="nothing"/>
      <w:lvlText w:val="（%1）"/>
      <w:lvlJc w:val="left"/>
      <w:pPr>
        <w:ind w:left="0" w:firstLine="420"/>
      </w:pPr>
      <w:rPr>
        <w:rFonts w:hint="eastAsia"/>
      </w:rPr>
    </w:lvl>
  </w:abstractNum>
  <w:abstractNum w:abstractNumId="10">
    <w:nsid w:val="60A618D3"/>
    <w:multiLevelType w:val="multilevel"/>
    <w:tmpl w:val="60A618D3"/>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A03"/>
    <w:rsid w:val="001150B0"/>
    <w:rsid w:val="00172A27"/>
    <w:rsid w:val="002929B4"/>
    <w:rsid w:val="009108DE"/>
    <w:rsid w:val="00B458CF"/>
    <w:rsid w:val="00CD71F9"/>
    <w:rsid w:val="0257264C"/>
    <w:rsid w:val="04453648"/>
    <w:rsid w:val="046D1D11"/>
    <w:rsid w:val="05DB00B9"/>
    <w:rsid w:val="069C5EE4"/>
    <w:rsid w:val="088806BA"/>
    <w:rsid w:val="09BB2134"/>
    <w:rsid w:val="0ABC25CE"/>
    <w:rsid w:val="0C190634"/>
    <w:rsid w:val="0C82056E"/>
    <w:rsid w:val="0CA434B9"/>
    <w:rsid w:val="0E4C156E"/>
    <w:rsid w:val="0F095976"/>
    <w:rsid w:val="0F297D66"/>
    <w:rsid w:val="10BD4691"/>
    <w:rsid w:val="11585E8B"/>
    <w:rsid w:val="11980416"/>
    <w:rsid w:val="13DD3B3C"/>
    <w:rsid w:val="15492582"/>
    <w:rsid w:val="1844341B"/>
    <w:rsid w:val="18F44D57"/>
    <w:rsid w:val="1CEF68C6"/>
    <w:rsid w:val="1D415527"/>
    <w:rsid w:val="1DB719C0"/>
    <w:rsid w:val="1E7D3B34"/>
    <w:rsid w:val="20DA2D26"/>
    <w:rsid w:val="22A51050"/>
    <w:rsid w:val="247B2E67"/>
    <w:rsid w:val="283D43BA"/>
    <w:rsid w:val="29AD062F"/>
    <w:rsid w:val="29B70F08"/>
    <w:rsid w:val="2A9514E8"/>
    <w:rsid w:val="2AA76596"/>
    <w:rsid w:val="2B3630FB"/>
    <w:rsid w:val="2BA4769A"/>
    <w:rsid w:val="2C7354FE"/>
    <w:rsid w:val="2CD06EF4"/>
    <w:rsid w:val="2CE20E1D"/>
    <w:rsid w:val="2D36101D"/>
    <w:rsid w:val="2E6D086B"/>
    <w:rsid w:val="2F335194"/>
    <w:rsid w:val="3076146E"/>
    <w:rsid w:val="30963758"/>
    <w:rsid w:val="32EF40CE"/>
    <w:rsid w:val="34920D5F"/>
    <w:rsid w:val="3574758A"/>
    <w:rsid w:val="35AB7798"/>
    <w:rsid w:val="372974AC"/>
    <w:rsid w:val="37515EC2"/>
    <w:rsid w:val="37531BC7"/>
    <w:rsid w:val="385306A3"/>
    <w:rsid w:val="39037D2A"/>
    <w:rsid w:val="3949702E"/>
    <w:rsid w:val="3A81590E"/>
    <w:rsid w:val="3BE408BA"/>
    <w:rsid w:val="3C7F703B"/>
    <w:rsid w:val="3D70189E"/>
    <w:rsid w:val="3D7605A6"/>
    <w:rsid w:val="3DB671DA"/>
    <w:rsid w:val="3FDB0BA0"/>
    <w:rsid w:val="410F7AFC"/>
    <w:rsid w:val="41203257"/>
    <w:rsid w:val="42271DDB"/>
    <w:rsid w:val="42C715B0"/>
    <w:rsid w:val="43910C0D"/>
    <w:rsid w:val="46044887"/>
    <w:rsid w:val="473839CD"/>
    <w:rsid w:val="48B52937"/>
    <w:rsid w:val="48EE3EF3"/>
    <w:rsid w:val="49655DB6"/>
    <w:rsid w:val="49944A4F"/>
    <w:rsid w:val="4C1E2F28"/>
    <w:rsid w:val="4CFC29CC"/>
    <w:rsid w:val="4D6E1856"/>
    <w:rsid w:val="4EE350D6"/>
    <w:rsid w:val="4F180BCC"/>
    <w:rsid w:val="4F39026C"/>
    <w:rsid w:val="502C04C1"/>
    <w:rsid w:val="51DE24AB"/>
    <w:rsid w:val="54536029"/>
    <w:rsid w:val="548C3F32"/>
    <w:rsid w:val="5651051D"/>
    <w:rsid w:val="56EC004A"/>
    <w:rsid w:val="57E961A8"/>
    <w:rsid w:val="581E77CF"/>
    <w:rsid w:val="58B06254"/>
    <w:rsid w:val="5A7B0287"/>
    <w:rsid w:val="5AF25131"/>
    <w:rsid w:val="5BDF40C1"/>
    <w:rsid w:val="5C3D03A1"/>
    <w:rsid w:val="5FBC44FD"/>
    <w:rsid w:val="600176AC"/>
    <w:rsid w:val="621E6257"/>
    <w:rsid w:val="64613D9E"/>
    <w:rsid w:val="65332BB8"/>
    <w:rsid w:val="65771A2B"/>
    <w:rsid w:val="664A1D41"/>
    <w:rsid w:val="664A46E0"/>
    <w:rsid w:val="66755D81"/>
    <w:rsid w:val="67AE5681"/>
    <w:rsid w:val="687276F9"/>
    <w:rsid w:val="68A121F7"/>
    <w:rsid w:val="68A9241E"/>
    <w:rsid w:val="6B6D695A"/>
    <w:rsid w:val="6CB75194"/>
    <w:rsid w:val="6DB174F1"/>
    <w:rsid w:val="6FD41D7F"/>
    <w:rsid w:val="72416639"/>
    <w:rsid w:val="738C1FE2"/>
    <w:rsid w:val="739534FA"/>
    <w:rsid w:val="75531EF6"/>
    <w:rsid w:val="75D0003D"/>
    <w:rsid w:val="764F7877"/>
    <w:rsid w:val="7AA141FF"/>
    <w:rsid w:val="7C445B57"/>
    <w:rsid w:val="7D713C10"/>
    <w:rsid w:val="7EF609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Autospacing="1" w:afterAutospacing="1"/>
      <w:jc w:val="left"/>
    </w:pPr>
    <w:rPr>
      <w:kern w:val="0"/>
      <w:sz w:val="24"/>
    </w:rPr>
  </w:style>
  <w:style w:type="character" w:styleId="6">
    <w:name w:val="Strong"/>
    <w:basedOn w:val="5"/>
    <w:qFormat/>
    <w:uiPriority w:val="0"/>
    <w:rPr>
      <w:b/>
    </w:rPr>
  </w:style>
  <w:style w:type="character" w:customStyle="1" w:styleId="8">
    <w:name w:val="font31"/>
    <w:basedOn w:val="5"/>
    <w:qFormat/>
    <w:uiPriority w:val="0"/>
    <w:rPr>
      <w:rFonts w:ascii="Arial" w:hAnsi="Arial" w:cs="Arial"/>
      <w:color w:val="000000"/>
      <w:sz w:val="16"/>
      <w:szCs w:val="16"/>
      <w:u w:val="none"/>
    </w:rPr>
  </w:style>
  <w:style w:type="character" w:customStyle="1" w:styleId="9">
    <w:name w:val="font01"/>
    <w:basedOn w:val="5"/>
    <w:qFormat/>
    <w:uiPriority w:val="0"/>
    <w:rPr>
      <w:rFonts w:hint="default" w:ascii="Arial" w:hAnsi="Arial" w:cs="Arial"/>
      <w:color w:val="000000"/>
      <w:sz w:val="16"/>
      <w:szCs w:val="16"/>
      <w:u w:val="none"/>
    </w:rPr>
  </w:style>
  <w:style w:type="character" w:customStyle="1" w:styleId="10">
    <w:name w:val="font4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2305</Words>
  <Characters>13142</Characters>
  <Lines>109</Lines>
  <Paragraphs>30</Paragraphs>
  <ScaleCrop>false</ScaleCrop>
  <LinksUpToDate>false</LinksUpToDate>
  <CharactersWithSpaces>15417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DELL</cp:lastModifiedBy>
  <cp:lastPrinted>2017-07-25T02:47:00Z</cp:lastPrinted>
  <dcterms:modified xsi:type="dcterms:W3CDTF">2017-10-17T07:07:52Z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