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黑体" w:hAnsi="黑体" w:eastAsia="黑体" w:cs="黑体"/>
          <w:sz w:val="52"/>
          <w:szCs w:val="52"/>
        </w:rPr>
      </w:pPr>
      <w:r>
        <w:rPr>
          <w:rFonts w:hint="eastAsia" w:ascii="隶书" w:hAnsi="隶书" w:eastAsia="隶书" w:cs="隶书"/>
          <w:sz w:val="52"/>
          <w:szCs w:val="52"/>
          <w:lang w:val="en-US" w:eastAsia="zh-CN"/>
        </w:rPr>
        <w:t>产业集聚区</w:t>
      </w: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产业集聚区</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val="en-US" w:eastAsia="zh-CN"/>
        </w:rPr>
        <w:t>产业集聚区</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val="en-US" w:eastAsia="zh-CN"/>
        </w:rPr>
        <w:t>产业集聚区</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48"/>
          <w:szCs w:val="48"/>
        </w:rPr>
        <w:t>第一部分　　</w:t>
      </w:r>
      <w:r>
        <w:rPr>
          <w:rFonts w:hint="eastAsia" w:ascii="隶书" w:hAnsi="隶书" w:eastAsia="隶书" w:cs="隶书"/>
          <w:sz w:val="48"/>
          <w:szCs w:val="48"/>
          <w:lang w:val="en-US" w:eastAsia="zh-CN"/>
        </w:rPr>
        <w:t>产业集聚区</w:t>
      </w:r>
      <w:r>
        <w:rPr>
          <w:rFonts w:hint="eastAsia" w:ascii="隶书" w:hAnsi="隶书" w:eastAsia="隶书" w:cs="隶书"/>
          <w:sz w:val="48"/>
          <w:szCs w:val="48"/>
        </w:rPr>
        <w:t>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w:t>
      </w:r>
      <w:r>
        <w:rPr>
          <w:rFonts w:hint="eastAsia" w:ascii="黑体" w:hAnsi="黑体" w:eastAsia="黑体" w:cs="黑体"/>
          <w:sz w:val="32"/>
          <w:szCs w:val="32"/>
          <w:lang w:eastAsia="zh-CN"/>
        </w:rPr>
        <w:t>职责</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拟定</w:t>
      </w:r>
      <w:r>
        <w:rPr>
          <w:rFonts w:hint="eastAsia" w:ascii="仿宋_GB2312" w:hAnsi="仿宋_GB2312" w:eastAsia="仿宋_GB2312" w:cs="仿宋_GB2312"/>
          <w:sz w:val="32"/>
          <w:szCs w:val="32"/>
          <w:lang w:val="en-US" w:eastAsia="zh-CN"/>
        </w:rPr>
        <w:t>产业集聚区规划并组织实施；</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建设管理基础设施和公共服务设施；</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招商引资、承接产业转移和经济协作；</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建立并管理投融资、土地收储、中小企业信用担保、人才等要素平台；</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审核投资项目，按照规定权限进行备案和上报；</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优化企业生产经营环境，维护企业合法权益；</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培育和发展行业协会等中介组织；</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承担相关职能部门派驻机构的协调服务工作；</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负责产业集聚区管理委员会干部的考核、晋级、调整和惩戒工作；</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承办县委、县政府交办的其他工作。</w:t>
      </w:r>
    </w:p>
    <w:p>
      <w:pPr>
        <w:numPr>
          <w:ilvl w:val="0"/>
          <w:numId w:val="4"/>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产业集聚区</w:t>
      </w:r>
      <w:r>
        <w:rPr>
          <w:rFonts w:hint="eastAsia" w:ascii="仿宋_GB2312" w:hAnsi="仿宋_GB2312" w:eastAsia="仿宋_GB2312" w:cs="仿宋_GB2312"/>
          <w:sz w:val="32"/>
          <w:szCs w:val="32"/>
        </w:rPr>
        <w:t>2016年度部门决算编制范围的</w:t>
      </w:r>
      <w:r>
        <w:rPr>
          <w:rFonts w:hint="eastAsia" w:ascii="仿宋_GB2312" w:hAnsi="仿宋_GB2312" w:eastAsia="仿宋_GB2312" w:cs="仿宋_GB2312"/>
          <w:sz w:val="32"/>
          <w:szCs w:val="32"/>
          <w:lang w:val="en-US" w:eastAsia="zh-CN"/>
        </w:rPr>
        <w:t>内设机构</w:t>
      </w:r>
      <w:r>
        <w:rPr>
          <w:rFonts w:hint="eastAsia" w:ascii="仿宋_GB2312" w:hAnsi="仿宋_GB2312" w:eastAsia="仿宋_GB2312" w:cs="仿宋_GB2312"/>
          <w:sz w:val="32"/>
          <w:szCs w:val="32"/>
        </w:rPr>
        <w:t>包括：</w:t>
      </w:r>
    </w:p>
    <w:p>
      <w:pPr>
        <w:numPr>
          <w:ilvl w:val="0"/>
          <w:numId w:val="5"/>
        </w:num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综合办公室</w:t>
      </w:r>
    </w:p>
    <w:p>
      <w:pPr>
        <w:numPr>
          <w:ilvl w:val="0"/>
          <w:numId w:val="5"/>
        </w:num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规划国土局</w:t>
      </w:r>
    </w:p>
    <w:p>
      <w:pPr>
        <w:numPr>
          <w:ilvl w:val="0"/>
          <w:numId w:val="5"/>
        </w:num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建设管理局</w:t>
      </w:r>
    </w:p>
    <w:p>
      <w:pPr>
        <w:numPr>
          <w:ilvl w:val="0"/>
          <w:numId w:val="5"/>
        </w:num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经济发展与招商服务局</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val="en-US" w:eastAsia="zh-CN"/>
        </w:rPr>
        <w:t>产业集聚区</w:t>
      </w:r>
      <w:r>
        <w:rPr>
          <w:rFonts w:hint="eastAsia" w:ascii="隶书" w:hAnsi="隶书" w:eastAsia="隶书" w:cs="隶书"/>
          <w:sz w:val="48"/>
          <w:szCs w:val="48"/>
        </w:rPr>
        <w:t>2016年度部门决算表</w:t>
      </w:r>
    </w:p>
    <w:tbl>
      <w:tblPr>
        <w:tblStyle w:val="5"/>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643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99"/>
              </w:tabs>
              <w:jc w:val="left"/>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eastAsia="zh-CN"/>
              </w:rPr>
              <w:tab/>
            </w:r>
            <w:r>
              <w:rPr>
                <w:rFonts w:hint="eastAsia" w:ascii="宋体" w:hAnsi="宋体" w:eastAsia="宋体" w:cs="宋体"/>
                <w:b/>
                <w:i w:val="0"/>
                <w:color w:val="000000"/>
                <w:sz w:val="16"/>
                <w:szCs w:val="16"/>
                <w:u w:val="none"/>
                <w:lang w:val="en-US" w:eastAsia="zh-CN"/>
              </w:rPr>
              <w:t>643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643</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spacing w:line="360" w:lineRule="auto"/>
        <w:jc w:val="both"/>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5"/>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643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643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一般公共服务支出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78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78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人大事务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78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78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2010103</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机关服务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人大会议</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2320303</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地方政府向国际组织借款付息支出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黑体" w:hAnsi="黑体" w:eastAsia="黑体" w:cs="黑体"/>
                <w:color w:val="000000"/>
                <w:kern w:val="0"/>
                <w:sz w:val="16"/>
                <w:szCs w:val="16"/>
                <w:lang w:val="en-US" w:eastAsia="zh-CN"/>
              </w:rPr>
              <w:t>212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sz w:val="16"/>
                <w:szCs w:val="16"/>
                <w:lang w:val="en-US" w:eastAsia="zh-CN"/>
              </w:rPr>
              <w:t>城乡社区支出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sz w:val="16"/>
                <w:szCs w:val="16"/>
                <w:lang w:val="en-US" w:eastAsia="zh-CN"/>
              </w:rPr>
              <w:t>21203</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sz w:val="16"/>
                <w:szCs w:val="16"/>
                <w:lang w:val="en-US" w:eastAsia="zh-CN"/>
              </w:rPr>
              <w:t>城乡社区公共设施</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sz w:val="16"/>
                <w:szCs w:val="16"/>
                <w:lang w:val="en-US" w:eastAsia="zh-CN"/>
              </w:rPr>
              <w:t>2120399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sz w:val="16"/>
                <w:szCs w:val="16"/>
                <w:lang w:val="en-US" w:eastAsia="zh-CN"/>
              </w:rPr>
              <w:t>其他城乡社区公共设施支出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565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5"/>
        <w:tblW w:w="10350" w:type="dxa"/>
        <w:tblInd w:w="-821" w:type="dxa"/>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4"/>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2"/>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565</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人大事务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2010101</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2010102</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2010103</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机关服务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2010104</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人大会议</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2010105</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人大立法</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2010106</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人大监督</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2010107</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人大代表履职能力提升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320411</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国有土地使用权出让金债务付息支出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黑体" w:hAnsi="黑体" w:eastAsia="黑体" w:cs="黑体"/>
                <w:color w:val="000000"/>
                <w:kern w:val="0"/>
                <w:sz w:val="16"/>
                <w:szCs w:val="16"/>
                <w:lang w:val="en-US" w:eastAsia="zh-CN"/>
              </w:rPr>
              <w:t>212</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lang w:val="en-US" w:eastAsia="zh-CN"/>
              </w:rPr>
              <w:t>城乡社区支出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565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565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lang w:val="en-US" w:eastAsia="zh-CN"/>
              </w:rPr>
              <w:t>21203</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lang w:val="en-US" w:eastAsia="zh-CN"/>
              </w:rPr>
              <w:t>城乡社区公共设施</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565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565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lang w:val="en-US" w:eastAsia="zh-CN"/>
              </w:rPr>
              <w:t>2120399</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sz w:val="16"/>
                <w:szCs w:val="16"/>
                <w:lang w:val="en-US" w:eastAsia="zh-CN"/>
              </w:rPr>
              <w:t>其他城乡社区公共设施支出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565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565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5"/>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643</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565</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565</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5"/>
        <w:tblW w:w="9805" w:type="dxa"/>
        <w:tblInd w:w="-902" w:type="dxa"/>
        <w:tblLayout w:type="fixed"/>
        <w:tblCellMar>
          <w:top w:w="15" w:type="dxa"/>
          <w:left w:w="15" w:type="dxa"/>
          <w:bottom w:w="15" w:type="dxa"/>
          <w:right w:w="15" w:type="dxa"/>
        </w:tblCellMar>
      </w:tblPr>
      <w:tblGrid>
        <w:gridCol w:w="940"/>
        <w:gridCol w:w="522"/>
        <w:gridCol w:w="1392"/>
        <w:gridCol w:w="1739"/>
        <w:gridCol w:w="59"/>
        <w:gridCol w:w="1218"/>
        <w:gridCol w:w="462"/>
        <w:gridCol w:w="1740"/>
        <w:gridCol w:w="1"/>
        <w:gridCol w:w="1731"/>
        <w:gridCol w:w="1"/>
      </w:tblGrid>
      <w:tr>
        <w:tblPrEx>
          <w:tblLayout w:type="fixed"/>
          <w:tblCellMar>
            <w:top w:w="15" w:type="dxa"/>
            <w:left w:w="15" w:type="dxa"/>
            <w:bottom w:w="15" w:type="dxa"/>
            <w:right w:w="15" w:type="dxa"/>
          </w:tblCellMar>
        </w:tblPrEx>
        <w:trPr>
          <w:gridAfter w:val="1"/>
          <w:wAfter w:w="1" w:type="dxa"/>
          <w:trHeight w:val="375" w:hRule="atLeast"/>
        </w:trPr>
        <w:tc>
          <w:tcPr>
            <w:tcW w:w="8072" w:type="dxa"/>
            <w:gridSpan w:val="8"/>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c>
          <w:tcPr>
            <w:tcW w:w="1732" w:type="dxa"/>
            <w:gridSpan w:val="2"/>
            <w:shd w:val="clear" w:color="auto" w:fill="auto"/>
            <w:vAlign w:val="bottom"/>
          </w:tcPr>
          <w:p>
            <w:pPr>
              <w:widowControl/>
              <w:jc w:val="center"/>
              <w:textAlignment w:val="bottom"/>
              <w:rPr>
                <w:rFonts w:hint="eastAsia" w:ascii="黑体" w:hAnsi="宋体" w:eastAsia="黑体" w:cs="黑体"/>
                <w:color w:val="000000"/>
                <w:kern w:val="0"/>
                <w:sz w:val="28"/>
                <w:szCs w:val="28"/>
              </w:rPr>
            </w:pPr>
          </w:p>
        </w:tc>
      </w:tr>
      <w:tr>
        <w:tblPrEx>
          <w:tblLayout w:type="fixed"/>
          <w:tblCellMar>
            <w:top w:w="15" w:type="dxa"/>
            <w:left w:w="15" w:type="dxa"/>
            <w:bottom w:w="15" w:type="dxa"/>
            <w:right w:w="15" w:type="dxa"/>
          </w:tblCellMar>
        </w:tblPrEx>
        <w:trPr>
          <w:trHeight w:val="285" w:hRule="atLeast"/>
        </w:trPr>
        <w:tc>
          <w:tcPr>
            <w:tcW w:w="1462" w:type="dxa"/>
            <w:gridSpan w:val="2"/>
            <w:shd w:val="clear" w:color="auto" w:fill="auto"/>
            <w:vAlign w:val="center"/>
          </w:tcPr>
          <w:p>
            <w:pPr>
              <w:rPr>
                <w:rFonts w:ascii="宋体" w:hAnsi="宋体" w:eastAsia="宋体" w:cs="宋体"/>
                <w:color w:val="000000"/>
                <w:sz w:val="16"/>
                <w:szCs w:val="16"/>
              </w:rPr>
            </w:pPr>
          </w:p>
        </w:tc>
        <w:tc>
          <w:tcPr>
            <w:tcW w:w="1392" w:type="dxa"/>
            <w:shd w:val="clear" w:color="auto" w:fill="auto"/>
            <w:vAlign w:val="center"/>
          </w:tcPr>
          <w:p>
            <w:pPr>
              <w:rPr>
                <w:rFonts w:ascii="宋体" w:hAnsi="宋体" w:eastAsia="宋体" w:cs="宋体"/>
                <w:color w:val="000000"/>
                <w:sz w:val="16"/>
                <w:szCs w:val="16"/>
              </w:rPr>
            </w:pPr>
          </w:p>
        </w:tc>
        <w:tc>
          <w:tcPr>
            <w:tcW w:w="1798" w:type="dxa"/>
            <w:gridSpan w:val="2"/>
            <w:shd w:val="clear" w:color="auto" w:fill="auto"/>
            <w:vAlign w:val="center"/>
          </w:tcPr>
          <w:p>
            <w:pPr>
              <w:rPr>
                <w:rFonts w:ascii="宋体" w:hAnsi="宋体" w:eastAsia="宋体" w:cs="宋体"/>
                <w:color w:val="000000"/>
                <w:sz w:val="16"/>
                <w:szCs w:val="16"/>
              </w:rPr>
            </w:pPr>
          </w:p>
        </w:tc>
        <w:tc>
          <w:tcPr>
            <w:tcW w:w="1218" w:type="dxa"/>
            <w:shd w:val="clear" w:color="auto" w:fill="auto"/>
            <w:vAlign w:val="center"/>
          </w:tcPr>
          <w:p>
            <w:pPr>
              <w:rPr>
                <w:rFonts w:ascii="宋体" w:hAnsi="宋体" w:eastAsia="宋体" w:cs="宋体"/>
                <w:color w:val="000000"/>
                <w:sz w:val="16"/>
                <w:szCs w:val="16"/>
              </w:rPr>
            </w:pPr>
          </w:p>
        </w:tc>
        <w:tc>
          <w:tcPr>
            <w:tcW w:w="2203"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c>
          <w:tcPr>
            <w:tcW w:w="1732" w:type="dxa"/>
            <w:gridSpan w:val="2"/>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1462" w:type="dxa"/>
            <w:gridSpan w:val="2"/>
            <w:shd w:val="clear" w:color="auto" w:fill="auto"/>
            <w:vAlign w:val="center"/>
          </w:tcPr>
          <w:p>
            <w:pPr>
              <w:rPr>
                <w:rFonts w:ascii="宋体" w:hAnsi="宋体" w:eastAsia="宋体" w:cs="宋体"/>
                <w:color w:val="000000"/>
                <w:sz w:val="16"/>
                <w:szCs w:val="16"/>
              </w:rPr>
            </w:pPr>
          </w:p>
        </w:tc>
        <w:tc>
          <w:tcPr>
            <w:tcW w:w="1392" w:type="dxa"/>
            <w:shd w:val="clear" w:color="auto" w:fill="auto"/>
            <w:vAlign w:val="center"/>
          </w:tcPr>
          <w:p>
            <w:pPr>
              <w:rPr>
                <w:rFonts w:ascii="宋体" w:hAnsi="宋体" w:eastAsia="宋体" w:cs="宋体"/>
                <w:color w:val="000000"/>
                <w:sz w:val="16"/>
                <w:szCs w:val="16"/>
              </w:rPr>
            </w:pPr>
          </w:p>
        </w:tc>
        <w:tc>
          <w:tcPr>
            <w:tcW w:w="1798" w:type="dxa"/>
            <w:gridSpan w:val="2"/>
            <w:shd w:val="clear" w:color="auto" w:fill="auto"/>
            <w:vAlign w:val="center"/>
          </w:tcPr>
          <w:p>
            <w:pPr>
              <w:rPr>
                <w:rFonts w:ascii="宋体" w:hAnsi="宋体" w:eastAsia="宋体" w:cs="宋体"/>
                <w:color w:val="000000"/>
                <w:sz w:val="16"/>
                <w:szCs w:val="16"/>
              </w:rPr>
            </w:pPr>
          </w:p>
        </w:tc>
        <w:tc>
          <w:tcPr>
            <w:tcW w:w="1218" w:type="dxa"/>
            <w:shd w:val="clear" w:color="auto" w:fill="auto"/>
            <w:vAlign w:val="center"/>
          </w:tcPr>
          <w:p>
            <w:pPr>
              <w:rPr>
                <w:rFonts w:ascii="宋体" w:hAnsi="宋体" w:eastAsia="宋体" w:cs="宋体"/>
                <w:color w:val="000000"/>
                <w:sz w:val="16"/>
                <w:szCs w:val="16"/>
              </w:rPr>
            </w:pPr>
          </w:p>
        </w:tc>
        <w:tc>
          <w:tcPr>
            <w:tcW w:w="2203"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c>
          <w:tcPr>
            <w:tcW w:w="1732" w:type="dxa"/>
            <w:gridSpan w:val="2"/>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2854"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173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73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74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732"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hint="eastAsia" w:ascii="宋体" w:hAnsi="宋体" w:eastAsia="宋体" w:cs="宋体"/>
                <w:b/>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6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3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73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74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c>
          <w:tcPr>
            <w:tcW w:w="1732"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285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hint="eastAsia" w:ascii="宋体" w:hAnsi="宋体" w:eastAsia="宋体" w:cs="宋体"/>
                <w:b/>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285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643</w:t>
            </w:r>
            <w:r>
              <w:rPr>
                <w:rFonts w:hint="eastAsia" w:ascii="宋体" w:hAnsi="宋体" w:eastAsia="宋体" w:cs="宋体"/>
                <w:b/>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w:t>
            </w:r>
            <w:r>
              <w:rPr>
                <w:rFonts w:hint="eastAsia" w:ascii="宋体" w:hAnsi="宋体" w:eastAsia="宋体" w:cs="宋体"/>
                <w:b/>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565</w:t>
            </w:r>
            <w:r>
              <w:rPr>
                <w:rFonts w:hint="eastAsia" w:ascii="宋体" w:hAnsi="宋体" w:eastAsia="宋体" w:cs="宋体"/>
                <w:b/>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b/>
                <w:color w:val="000000"/>
                <w:kern w:val="0"/>
                <w:sz w:val="16"/>
                <w:szCs w:val="16"/>
                <w:lang w:val="en-US" w:eastAsia="zh-CN"/>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w:t>
            </w:r>
            <w:r>
              <w:rPr>
                <w:rFonts w:hint="eastAsia" w:ascii="宋体" w:hAnsi="宋体" w:eastAsia="宋体" w:cs="宋体"/>
                <w:b/>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w:t>
            </w:r>
            <w:r>
              <w:rPr>
                <w:rFonts w:hint="eastAsia" w:ascii="宋体" w:hAnsi="宋体" w:eastAsia="宋体" w:cs="宋体"/>
                <w:b/>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b/>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人大事务</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2010101</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w:t>
            </w: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w:t>
            </w: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2010102</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lang w:val="en-US" w:eastAsia="zh-CN"/>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2010103</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机关服务</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2010104</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人大会议</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2010105</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人大立法</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2010106</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人大监督</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2010107</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人大代表履职能力提升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2010108</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代表工作</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2010109</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人大信访工作</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2010150</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事业运行</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eastAsia="zh-CN"/>
              </w:rPr>
            </w:pPr>
            <w:r>
              <w:rPr>
                <w:rFonts w:hint="eastAsia" w:ascii="黑体" w:hAnsi="黑体" w:eastAsia="黑体" w:cs="黑体"/>
                <w:color w:val="000000"/>
                <w:kern w:val="0"/>
                <w:sz w:val="16"/>
                <w:szCs w:val="16"/>
                <w:lang w:val="en-US" w:eastAsia="zh-CN"/>
              </w:rPr>
              <w:t>212</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城乡社区支出</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565</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6"/>
                <w:szCs w:val="16"/>
                <w:lang w:val="en-US" w:eastAsia="zh-CN"/>
              </w:rPr>
            </w:pP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565</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21203</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城乡社区公共设施</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565</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565</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2120399</w:t>
            </w:r>
          </w:p>
        </w:tc>
        <w:tc>
          <w:tcPr>
            <w:tcW w:w="1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其他城乡社区公共设施支出</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565</w:t>
            </w:r>
          </w:p>
        </w:tc>
        <w:tc>
          <w:tcPr>
            <w:tcW w:w="1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74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565</w:t>
            </w:r>
          </w:p>
        </w:tc>
        <w:tc>
          <w:tcPr>
            <w:tcW w:w="173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1" w:type="dxa"/>
          <w:trHeight w:val="300" w:hRule="atLeast"/>
        </w:trPr>
        <w:tc>
          <w:tcPr>
            <w:tcW w:w="940"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1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73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73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7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732"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1" w:type="dxa"/>
          <w:trHeight w:val="600" w:hRule="atLeast"/>
        </w:trPr>
        <w:tc>
          <w:tcPr>
            <w:tcW w:w="8072"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c>
          <w:tcPr>
            <w:tcW w:w="1732" w:type="dxa"/>
            <w:gridSpan w:val="2"/>
            <w:shd w:val="clear" w:color="auto" w:fill="auto"/>
            <w:vAlign w:val="center"/>
          </w:tcPr>
          <w:p>
            <w:pPr>
              <w:widowControl/>
              <w:jc w:val="left"/>
              <w:textAlignment w:val="center"/>
              <w:rPr>
                <w:rFonts w:hint="eastAsia" w:ascii="宋体" w:hAnsi="宋体" w:eastAsia="宋体" w:cs="宋体"/>
                <w:color w:val="000000"/>
                <w:kern w:val="0"/>
                <w:sz w:val="16"/>
                <w:szCs w:val="16"/>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61.2</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16.8</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47.42</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lang w:val="en-US"/>
              </w:rPr>
            </w:pPr>
            <w:r>
              <w:rPr>
                <w:rFonts w:hint="eastAsia" w:ascii="宋体" w:hAnsi="宋体" w:eastAsia="宋体" w:cs="宋体"/>
                <w:color w:val="000000"/>
                <w:kern w:val="0"/>
                <w:sz w:val="16"/>
                <w:szCs w:val="16"/>
                <w:lang w:val="en-US" w:eastAsia="zh-CN"/>
              </w:rPr>
              <w:t>4.5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13.78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0.3</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0.18</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0.3</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1.62</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0.9</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0.3</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0.3</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0.3</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资助城市影院</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i w:val="0"/>
                <w:color w:val="FF0000"/>
                <w:kern w:val="0"/>
                <w:sz w:val="20"/>
                <w:szCs w:val="20"/>
                <w:u w:val="none"/>
                <w:lang w:val="en-US" w:eastAsia="zh-CN" w:bidi="ar"/>
              </w:rPr>
              <w:t>（该报表全部数据为零时）</w:t>
            </w:r>
            <w:r>
              <w:rPr>
                <w:rFonts w:hint="eastAsia" w:ascii="宋体" w:hAnsi="宋体" w:eastAsia="宋体" w:cs="宋体"/>
                <w:b/>
                <w:color w:val="FF0000"/>
                <w:kern w:val="0"/>
                <w:sz w:val="20"/>
                <w:szCs w:val="20"/>
              </w:rPr>
              <w:t>说明：xx</w:t>
            </w:r>
            <w:r>
              <w:rPr>
                <w:rFonts w:hint="eastAsia" w:ascii="宋体" w:hAnsi="宋体" w:eastAsia="宋体" w:cs="宋体"/>
                <w:b/>
                <w:color w:val="FF0000"/>
                <w:kern w:val="0"/>
                <w:sz w:val="20"/>
                <w:szCs w:val="20"/>
                <w:lang w:eastAsia="zh-CN"/>
              </w:rPr>
              <w:t>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val="en-US" w:eastAsia="zh-CN"/>
        </w:rPr>
        <w:t>产业集聚区</w:t>
      </w:r>
      <w:r>
        <w:rPr>
          <w:rFonts w:hint="eastAsia" w:ascii="隶书" w:hAnsi="隶书" w:eastAsia="隶书" w:cs="隶书"/>
          <w:sz w:val="48"/>
          <w:szCs w:val="48"/>
        </w:rPr>
        <w:t>2016年度部门决算情况说明</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643</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643</w:t>
      </w:r>
      <w:r>
        <w:rPr>
          <w:rFonts w:hint="eastAsia" w:ascii="仿宋_GB2312" w:hAnsi="宋体" w:eastAsia="仿宋_GB2312" w:cs="Courier New"/>
          <w:sz w:val="32"/>
          <w:szCs w:val="32"/>
        </w:rPr>
        <w:t>万元，与2015年相比，收、支总计各增加</w:t>
      </w:r>
      <w:r>
        <w:rPr>
          <w:rFonts w:hint="eastAsia" w:ascii="仿宋_GB2312" w:hAnsi="宋体" w:eastAsia="仿宋_GB2312" w:cs="Courier New"/>
          <w:sz w:val="32"/>
          <w:szCs w:val="32"/>
          <w:lang w:val="en-US" w:eastAsia="zh-CN"/>
        </w:rPr>
        <w:t>9.6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图1：收、支决算总计变动情况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643</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643</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lang w:val="en-US" w:eastAsia="zh-CN"/>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图2：收入决算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643</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78</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12</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565</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88</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图3：支出决算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643</w:t>
      </w:r>
      <w:r>
        <w:rPr>
          <w:rFonts w:hint="eastAsia" w:ascii="仿宋_GB2312" w:hAnsi="宋体" w:eastAsia="仿宋_GB2312" w:cs="Courier New"/>
          <w:sz w:val="32"/>
          <w:szCs w:val="32"/>
        </w:rPr>
        <w:t>万元。与2015年相比，财政拨款收、支总计各增加</w:t>
      </w:r>
      <w:r>
        <w:rPr>
          <w:rFonts w:hint="eastAsia" w:ascii="仿宋_GB2312" w:hAnsi="宋体" w:eastAsia="仿宋_GB2312" w:cs="Courier New"/>
          <w:sz w:val="32"/>
          <w:szCs w:val="32"/>
          <w:lang w:val="en-US" w:eastAsia="zh-CN"/>
        </w:rPr>
        <w:t>9.6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图4：财政拨款收、支决算总计变动情况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7"/>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643</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%。与2015年相比，一般公共预算财政拨款支出增加</w:t>
      </w:r>
      <w:r>
        <w:rPr>
          <w:rFonts w:hint="eastAsia" w:ascii="仿宋_GB2312" w:hAnsi="宋体" w:eastAsia="仿宋_GB2312" w:cs="Courier New"/>
          <w:sz w:val="32"/>
          <w:szCs w:val="32"/>
          <w:lang w:val="en-US" w:eastAsia="zh-CN"/>
        </w:rPr>
        <w:t>9.6</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图5：财政拨款支出决算变动情况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7"/>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78</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78</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图6：财政拨款支出决算结构</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7"/>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650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643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98</w:t>
      </w:r>
      <w:r>
        <w:rPr>
          <w:rFonts w:hint="eastAsia" w:ascii="仿宋_GB2312" w:hAnsi="宋体" w:eastAsia="仿宋_GB2312" w:cs="Courier New"/>
          <w:sz w:val="32"/>
          <w:szCs w:val="32"/>
        </w:rPr>
        <w:t>%。</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其中：</w:t>
      </w:r>
    </w:p>
    <w:p>
      <w:pPr>
        <w:numPr>
          <w:ilvl w:val="0"/>
          <w:numId w:val="8"/>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一般公共服务（类）财政事务（款）行政运行（项）。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80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78</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97</w:t>
      </w:r>
      <w:r>
        <w:rPr>
          <w:rFonts w:hint="eastAsia" w:ascii="仿宋_GB2312" w:hAnsi="宋体" w:eastAsia="仿宋_GB2312" w:cs="Courier New"/>
          <w:sz w:val="32"/>
          <w:szCs w:val="32"/>
        </w:rPr>
        <w:t>%。</w:t>
      </w:r>
    </w:p>
    <w:p>
      <w:pPr>
        <w:numPr>
          <w:ilvl w:val="0"/>
          <w:numId w:val="8"/>
        </w:numPr>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一般公共服务（类）财政事务（款）一般行政管理事务（项）。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570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565</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99</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78</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61.2</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w:t>
      </w:r>
      <w:r>
        <w:rPr>
          <w:rFonts w:hint="eastAsia" w:ascii="仿宋_GB2312" w:hAnsi="宋体" w:eastAsia="仿宋_GB2312" w:cs="Courier New"/>
          <w:sz w:val="32"/>
          <w:szCs w:val="32"/>
          <w:lang w:val="en-US" w:eastAsia="zh-CN"/>
        </w:rPr>
        <w:t>47.42万元</w:t>
      </w:r>
      <w:r>
        <w:rPr>
          <w:rFonts w:hint="eastAsia" w:ascii="仿宋_GB2312" w:hAnsi="宋体" w:eastAsia="仿宋_GB2312" w:cs="Courier New"/>
          <w:sz w:val="32"/>
          <w:szCs w:val="32"/>
        </w:rPr>
        <w:t>、津贴补贴</w:t>
      </w:r>
      <w:r>
        <w:rPr>
          <w:rFonts w:hint="eastAsia" w:ascii="仿宋_GB2312" w:hAnsi="宋体" w:eastAsia="仿宋_GB2312" w:cs="Courier New"/>
          <w:sz w:val="32"/>
          <w:szCs w:val="32"/>
          <w:lang w:val="en-US" w:eastAsia="zh-CN"/>
        </w:rPr>
        <w:t>13.78万元。</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16.8</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val="en-US" w:eastAsia="zh-CN"/>
        </w:rPr>
        <w:t>4.5万元、印刷费1.5万元、咨询费1万元、手续费0.1万元、水费0.3万元、电费1.2万元、邮电费0.18万元、差旅费4万元、会议费1.2万元、公务接待费0.3万元、劳务费1.62万元、其他商品和服务支出0.9万元。</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0.9</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0.3</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33.3</w:t>
      </w:r>
      <w:r>
        <w:rPr>
          <w:rFonts w:hint="eastAsia" w:ascii="仿宋_GB2312" w:hAnsi="宋体" w:eastAsia="仿宋_GB2312" w:cs="Courier New"/>
          <w:sz w:val="32"/>
          <w:szCs w:val="32"/>
        </w:rPr>
        <w:t>%，其中：公务接待费支出决算为</w:t>
      </w:r>
      <w:r>
        <w:rPr>
          <w:rFonts w:hint="eastAsia" w:ascii="仿宋_GB2312" w:hAnsi="宋体" w:eastAsia="仿宋_GB2312" w:cs="Courier New"/>
          <w:sz w:val="32"/>
          <w:szCs w:val="32"/>
          <w:lang w:val="en-US" w:eastAsia="zh-CN"/>
        </w:rPr>
        <w:t>0.3</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2016年度“三公”经费财政拨款支出决算中，公务接待费支出决算</w:t>
      </w:r>
      <w:r>
        <w:rPr>
          <w:rFonts w:hint="eastAsia" w:ascii="仿宋_GB2312" w:hAnsi="宋体" w:eastAsia="仿宋_GB2312" w:cs="Courier New"/>
          <w:sz w:val="32"/>
          <w:szCs w:val="32"/>
          <w:lang w:val="en-US" w:eastAsia="zh-CN"/>
        </w:rPr>
        <w:t>0.3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%。具体情况如下：</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图7：“三公”经费财政拨款支出结构</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p>
    <w:p>
      <w:pPr>
        <w:kinsoku w:val="0"/>
        <w:overflowPunct w:val="0"/>
        <w:autoSpaceDE w:val="0"/>
        <w:autoSpaceDN w:val="0"/>
        <w:adjustRightInd w:val="0"/>
        <w:snapToGrid w:val="0"/>
        <w:spacing w:line="360" w:lineRule="auto"/>
        <w:rPr>
          <w:rFonts w:hint="eastAsia" w:ascii="仿宋_GB2312" w:hAnsi="宋体" w:eastAsia="仿宋_GB2312" w:cs="Courier New"/>
          <w:b/>
          <w:bCs/>
          <w:sz w:val="32"/>
          <w:szCs w:val="32"/>
          <w:lang w:val="en-US" w:eastAsia="zh-CN"/>
        </w:rPr>
      </w:pPr>
    </w:p>
    <w:p>
      <w:pPr>
        <w:kinsoku w:val="0"/>
        <w:overflowPunct w:val="0"/>
        <w:autoSpaceDE w:val="0"/>
        <w:autoSpaceDN w:val="0"/>
        <w:adjustRightInd w:val="0"/>
        <w:snapToGrid w:val="0"/>
        <w:spacing w:line="360" w:lineRule="auto"/>
        <w:rPr>
          <w:rFonts w:ascii="仿宋_GB2312" w:hAnsi="宋体" w:eastAsia="仿宋_GB2312" w:cs="Courier New"/>
          <w:sz w:val="32"/>
          <w:szCs w:val="32"/>
        </w:rPr>
      </w:pPr>
      <w:r>
        <w:rPr>
          <w:rFonts w:hint="eastAsia" w:ascii="仿宋_GB2312" w:hAnsi="宋体" w:eastAsia="仿宋_GB2312" w:cs="Courier New"/>
          <w:b/>
          <w:bCs/>
          <w:sz w:val="32"/>
          <w:szCs w:val="32"/>
          <w:lang w:val="en-US" w:eastAsia="zh-CN"/>
        </w:rPr>
        <w:t>1</w:t>
      </w:r>
      <w:r>
        <w:rPr>
          <w:rFonts w:hint="eastAsia" w:ascii="宋体" w:hAnsi="宋体" w:eastAsia="宋体" w:cs="宋体"/>
          <w:b/>
          <w:bCs/>
          <w:sz w:val="32"/>
          <w:szCs w:val="32"/>
          <w:lang w:val="en-US" w:eastAsia="zh-CN"/>
        </w:rPr>
        <w:t>﹑</w:t>
      </w:r>
      <w:r>
        <w:rPr>
          <w:rFonts w:hint="eastAsia" w:ascii="仿宋_GB2312" w:hAnsi="宋体" w:eastAsia="仿宋_GB2312" w:cs="Courier New"/>
          <w:b/>
          <w:bCs/>
          <w:sz w:val="32"/>
          <w:szCs w:val="32"/>
        </w:rPr>
        <w:t>会议</w:t>
      </w:r>
      <w:r>
        <w:rPr>
          <w:rFonts w:hint="eastAsia" w:ascii="仿宋_GB2312" w:hAnsi="宋体" w:eastAsia="仿宋_GB2312" w:cs="Courier New"/>
          <w:b/>
          <w:bCs/>
          <w:sz w:val="32"/>
          <w:szCs w:val="32"/>
          <w:lang w:val="en-US" w:eastAsia="zh-CN"/>
        </w:rPr>
        <w:t>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1.2</w:t>
      </w:r>
      <w:r>
        <w:rPr>
          <w:rFonts w:hint="eastAsia" w:ascii="仿宋_GB2312" w:hAnsi="宋体" w:eastAsia="仿宋_GB2312" w:cs="Courier New"/>
          <w:sz w:val="32"/>
          <w:szCs w:val="32"/>
        </w:rPr>
        <w:t>万元。</w:t>
      </w:r>
      <w:bookmarkStart w:id="0" w:name="_GoBack"/>
      <w:bookmarkEnd w:id="0"/>
    </w:p>
    <w:p>
      <w:pPr>
        <w:numPr>
          <w:numId w:val="0"/>
        </w:numPr>
        <w:kinsoku w:val="0"/>
        <w:overflowPunct w:val="0"/>
        <w:autoSpaceDE w:val="0"/>
        <w:autoSpaceDN w:val="0"/>
        <w:adjustRightInd w:val="0"/>
        <w:snapToGrid w:val="0"/>
        <w:spacing w:line="360" w:lineRule="auto"/>
        <w:rPr>
          <w:rFonts w:hint="eastAsia" w:ascii="仿宋_GB2312" w:hAnsi="宋体" w:eastAsia="仿宋_GB2312" w:cs="Courier New"/>
          <w:b/>
          <w:bCs/>
          <w:sz w:val="32"/>
          <w:szCs w:val="32"/>
        </w:rPr>
      </w:pPr>
      <w:r>
        <w:rPr>
          <w:rFonts w:hint="eastAsia" w:ascii="仿宋_GB2312" w:hAnsi="宋体" w:eastAsia="仿宋_GB2312" w:cs="Courier New"/>
          <w:b/>
          <w:bCs/>
          <w:sz w:val="32"/>
          <w:szCs w:val="32"/>
          <w:lang w:val="en-US" w:eastAsia="zh-CN"/>
        </w:rPr>
        <w:t>2</w:t>
      </w:r>
      <w:r>
        <w:rPr>
          <w:rFonts w:hint="eastAsia" w:ascii="宋体" w:hAnsi="宋体" w:eastAsia="宋体" w:cs="宋体"/>
          <w:b/>
          <w:bCs/>
          <w:sz w:val="32"/>
          <w:szCs w:val="32"/>
          <w:lang w:val="en-US" w:eastAsia="zh-CN"/>
        </w:rPr>
        <w:t>﹑</w:t>
      </w: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0.3</w:t>
      </w:r>
      <w:r>
        <w:rPr>
          <w:rFonts w:hint="eastAsia" w:ascii="仿宋_GB2312" w:hAnsi="宋体" w:eastAsia="仿宋_GB2312" w:cs="Courier New"/>
          <w:b/>
          <w:bCs/>
          <w:sz w:val="32"/>
          <w:szCs w:val="32"/>
        </w:rPr>
        <w:t>万元。</w:t>
      </w:r>
      <w:r>
        <w:rPr>
          <w:rFonts w:hint="eastAsia" w:ascii="仿宋_GB2312" w:hAnsi="宋体" w:eastAsia="仿宋_GB2312" w:cs="Courier New"/>
          <w:b w:val="0"/>
          <w:bCs w:val="0"/>
          <w:sz w:val="32"/>
          <w:szCs w:val="32"/>
        </w:rPr>
        <w:t>主要用</w:t>
      </w:r>
      <w:r>
        <w:rPr>
          <w:rFonts w:hint="eastAsia" w:ascii="仿宋_GB2312" w:hAnsi="宋体" w:eastAsia="仿宋_GB2312" w:cs="Courier New"/>
          <w:b w:val="0"/>
          <w:bCs w:val="0"/>
          <w:sz w:val="32"/>
          <w:szCs w:val="32"/>
          <w:lang w:val="en-US" w:eastAsia="zh-CN"/>
        </w:rPr>
        <w:t>于招商引资</w:t>
      </w:r>
      <w:r>
        <w:rPr>
          <w:rFonts w:hint="eastAsia" w:ascii="仿宋_GB2312" w:hAnsi="宋体" w:eastAsia="仿宋_GB2312" w:cs="Courier New"/>
          <w:b w:val="0"/>
          <w:bCs w:val="0"/>
          <w:sz w:val="32"/>
          <w:szCs w:val="32"/>
        </w:rPr>
        <w:t>。</w:t>
      </w:r>
    </w:p>
    <w:p>
      <w:pPr>
        <w:numPr>
          <w:numId w:val="0"/>
        </w:numPr>
        <w:kinsoku w:val="0"/>
        <w:overflowPunct w:val="0"/>
        <w:autoSpaceDE w:val="0"/>
        <w:autoSpaceDN w:val="0"/>
        <w:adjustRightInd w:val="0"/>
        <w:snapToGrid w:val="0"/>
        <w:spacing w:line="360" w:lineRule="auto"/>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eastAsia="zh-CN"/>
        </w:rPr>
        <w:t>（说明：请</w:t>
      </w:r>
      <w:r>
        <w:rPr>
          <w:rFonts w:hint="eastAsia" w:ascii="仿宋_GB2312" w:hAnsi="宋体" w:eastAsia="仿宋_GB2312" w:cs="Courier New"/>
          <w:b/>
          <w:bCs/>
          <w:sz w:val="32"/>
          <w:szCs w:val="32"/>
          <w:highlight w:val="yellow"/>
        </w:rPr>
        <w:t>结合本部门</w:t>
      </w:r>
      <w:r>
        <w:rPr>
          <w:rFonts w:hint="eastAsia" w:ascii="仿宋_GB2312" w:hAnsi="宋体" w:eastAsia="仿宋_GB2312" w:cs="Courier New"/>
          <w:b/>
          <w:bCs/>
          <w:sz w:val="32"/>
          <w:szCs w:val="32"/>
          <w:highlight w:val="yellow"/>
          <w:lang w:eastAsia="zh-CN"/>
        </w:rPr>
        <w:t>公开</w:t>
      </w:r>
      <w:r>
        <w:rPr>
          <w:rFonts w:hint="eastAsia" w:ascii="仿宋_GB2312" w:hAnsi="宋体" w:eastAsia="仿宋_GB2312" w:cs="Courier New"/>
          <w:b/>
          <w:bCs/>
          <w:sz w:val="32"/>
          <w:szCs w:val="32"/>
          <w:highlight w:val="yellow"/>
          <w:lang w:val="en-US" w:eastAsia="zh-CN"/>
        </w:rPr>
        <w:t>01至公开08表</w:t>
      </w:r>
      <w:r>
        <w:rPr>
          <w:rFonts w:hint="eastAsia" w:ascii="仿宋_GB2312" w:hAnsi="宋体" w:eastAsia="仿宋_GB2312" w:cs="Courier New"/>
          <w:b/>
          <w:bCs/>
          <w:sz w:val="32"/>
          <w:szCs w:val="32"/>
          <w:highlight w:val="yellow"/>
        </w:rPr>
        <w:t>给出名词解释，本单位公开表中有的、金额较大的要给出名词解释，没有的要删除！</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eastAsia="zh-CN"/>
        </w:rPr>
        <w:t>例</w:t>
      </w:r>
      <w:r>
        <w:rPr>
          <w:rFonts w:hint="eastAsia" w:ascii="仿宋_GB2312" w:hAnsi="宋体" w:eastAsia="仿宋_GB2312" w:cs="Courier New"/>
          <w:b/>
          <w:bCs/>
          <w:sz w:val="32"/>
          <w:szCs w:val="32"/>
          <w:highlight w:val="yellow"/>
          <w:lang w:val="en-US" w:eastAsia="zh-CN"/>
        </w:rPr>
        <w:t>1</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eastAsia="zh-CN"/>
        </w:rPr>
        <w:t>某部门公开</w:t>
      </w:r>
      <w:r>
        <w:rPr>
          <w:rFonts w:hint="eastAsia" w:ascii="仿宋_GB2312" w:hAnsi="宋体" w:eastAsia="仿宋_GB2312" w:cs="Courier New"/>
          <w:b/>
          <w:bCs/>
          <w:sz w:val="32"/>
          <w:szCs w:val="32"/>
          <w:highlight w:val="yellow"/>
          <w:lang w:val="en-US" w:eastAsia="zh-CN"/>
        </w:rPr>
        <w:t>01表中收入栏“一、财政拨款收入”、“六、其他收入”两项有数据，则可给出以下名词解释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val="en-US" w:eastAsia="zh-CN"/>
        </w:rPr>
        <w:t>一、财政拨款收入：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二、其他收入：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lang w:val="en-US" w:eastAsia="zh-CN"/>
        </w:rPr>
        <w:t>三、</w:t>
      </w:r>
      <w:r>
        <w:rPr>
          <w:rFonts w:hint="eastAsia" w:ascii="仿宋_GB2312" w:hAnsi="宋体" w:eastAsia="仿宋_GB2312" w:cs="Courier New"/>
          <w:b/>
          <w:bCs/>
          <w:sz w:val="32"/>
          <w:szCs w:val="32"/>
          <w:highlight w:val="yellow"/>
        </w:rPr>
        <w:t>用事业基金弥补收支差额：</w:t>
      </w:r>
      <w:r>
        <w:rPr>
          <w:rFonts w:hint="eastAsia" w:ascii="仿宋_GB2312" w:hAnsi="宋体" w:eastAsia="仿宋_GB2312" w:cs="Courier New"/>
          <w:sz w:val="32"/>
          <w:szCs w:val="32"/>
          <w:highlight w:val="yellow"/>
        </w:rPr>
        <w:t>指事业单位在当年的“财政拨款收入”、“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yellow"/>
        </w:rPr>
      </w:pPr>
      <w:r>
        <w:rPr>
          <w:rFonts w:hint="eastAsia" w:ascii="仿宋_GB2312" w:hAnsi="宋体" w:eastAsia="仿宋_GB2312" w:cs="Courier New"/>
          <w:sz w:val="32"/>
          <w:szCs w:val="32"/>
          <w:highlight w:val="yellow"/>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例2</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eastAsia="zh-CN"/>
        </w:rPr>
        <w:t>某部门公开</w:t>
      </w:r>
      <w:r>
        <w:rPr>
          <w:rFonts w:hint="eastAsia" w:ascii="仿宋_GB2312" w:hAnsi="宋体" w:eastAsia="仿宋_GB2312" w:cs="Courier New"/>
          <w:b/>
          <w:bCs/>
          <w:sz w:val="32"/>
          <w:szCs w:val="32"/>
          <w:highlight w:val="yellow"/>
          <w:lang w:val="en-US" w:eastAsia="zh-CN"/>
        </w:rPr>
        <w:t>01表中收入栏六项均有数据，则可给出以下名词解释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val="en-US" w:eastAsia="zh-CN"/>
        </w:rPr>
        <w:t>一、财政拨款收入：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二、上级补助收入：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三、事业收入：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四、经营收入：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五、附属单位上缴收入：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六、其他收入</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lang w:val="en-US" w:eastAsia="zh-CN"/>
        </w:rPr>
        <w:t>七、</w:t>
      </w:r>
      <w:r>
        <w:rPr>
          <w:rFonts w:hint="eastAsia" w:ascii="仿宋_GB2312" w:hAnsi="宋体" w:eastAsia="仿宋_GB2312" w:cs="Courier New"/>
          <w:b/>
          <w:bCs/>
          <w:sz w:val="32"/>
          <w:szCs w:val="32"/>
          <w:highlight w:val="yellow"/>
        </w:rPr>
        <w:t>用事业基金弥补收支差额：</w:t>
      </w:r>
      <w:r>
        <w:rPr>
          <w:rFonts w:hint="eastAsia" w:ascii="仿宋_GB2312" w:hAnsi="宋体" w:eastAsia="仿宋_GB2312" w:cs="Courier New"/>
          <w:sz w:val="32"/>
          <w:szCs w:val="32"/>
          <w:highlight w:val="yellow"/>
        </w:rPr>
        <w:t>指事业单位在当年的“财政拨款收入”、</w:t>
      </w:r>
      <w:r>
        <w:rPr>
          <w:rFonts w:hint="eastAsia" w:ascii="仿宋_GB2312" w:hAnsi="宋体" w:eastAsia="仿宋_GB2312" w:cs="Courier New"/>
          <w:sz w:val="32"/>
          <w:szCs w:val="32"/>
          <w:highlight w:val="yellow"/>
          <w:lang w:eastAsia="zh-CN"/>
        </w:rPr>
        <w:t>“上级补助收入”、</w:t>
      </w:r>
      <w:r>
        <w:rPr>
          <w:rFonts w:hint="eastAsia" w:ascii="仿宋_GB2312" w:hAnsi="宋体" w:eastAsia="仿宋_GB2312" w:cs="Courier New"/>
          <w:sz w:val="32"/>
          <w:szCs w:val="32"/>
          <w:highlight w:val="yellow"/>
        </w:rPr>
        <w:t>“事业收入”、“经营收入”</w:t>
      </w:r>
      <w:r>
        <w:rPr>
          <w:rFonts w:hint="eastAsia" w:ascii="仿宋_GB2312" w:hAnsi="宋体" w:eastAsia="仿宋_GB2312" w:cs="Courier New"/>
          <w:sz w:val="32"/>
          <w:szCs w:val="32"/>
          <w:highlight w:val="yellow"/>
          <w:lang w:eastAsia="zh-CN"/>
        </w:rPr>
        <w:t>、“附属单位上缴收入”</w:t>
      </w:r>
      <w:r>
        <w:rPr>
          <w:rFonts w:hint="eastAsia" w:ascii="仿宋_GB2312" w:hAnsi="宋体" w:eastAsia="仿宋_GB2312" w:cs="Courier New"/>
          <w:sz w:val="32"/>
          <w:szCs w:val="32"/>
          <w:highlight w:val="yellow"/>
        </w:rPr>
        <w:t>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sz w:val="32"/>
          <w:szCs w:val="32"/>
          <w:highlight w:val="yellow"/>
        </w:rPr>
        <w:t>……</w:t>
      </w:r>
      <w:r>
        <w:rPr>
          <w:rFonts w:hint="eastAsia" w:ascii="仿宋_GB2312" w:hAnsi="宋体" w:eastAsia="仿宋_GB2312" w:cs="Courier New"/>
          <w:b/>
          <w:bCs/>
          <w:sz w:val="32"/>
          <w:szCs w:val="32"/>
          <w:highlight w:val="yellow"/>
          <w:lang w:eastAsia="zh-CN"/>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指省级财政当年拨付的资金。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w:t>
      </w:r>
      <w:r>
        <w:rPr>
          <w:rFonts w:hint="eastAsia" w:ascii="仿宋_GB2312" w:hAnsi="宋体" w:eastAsia="仿宋_GB2312" w:cs="Courier New"/>
          <w:sz w:val="32"/>
          <w:szCs w:val="32"/>
          <w:lang w:eastAsia="zh-CN"/>
        </w:rPr>
        <w:t>业务</w:t>
      </w:r>
      <w:r>
        <w:rPr>
          <w:rFonts w:hint="eastAsia" w:ascii="仿宋_GB2312" w:hAnsi="宋体" w:eastAsia="仿宋_GB2312" w:cs="Courier New"/>
          <w:sz w:val="32"/>
          <w:szCs w:val="32"/>
        </w:rPr>
        <w:t>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val="0"/>
          <w:bCs w:val="0"/>
          <w:sz w:val="32"/>
          <w:szCs w:val="32"/>
          <w:highlight w:val="none"/>
        </w:rPr>
      </w:pPr>
      <w:r>
        <w:rPr>
          <w:rFonts w:hint="eastAsia" w:ascii="仿宋_GB2312" w:hAnsi="宋体" w:eastAsia="仿宋_GB2312" w:cs="Courier New"/>
          <w:b/>
          <w:bCs/>
          <w:sz w:val="32"/>
          <w:szCs w:val="32"/>
          <w:highlight w:val="none"/>
        </w:rPr>
        <w:t>三、其他收入：</w:t>
      </w:r>
      <w:r>
        <w:rPr>
          <w:rFonts w:hint="eastAsia" w:ascii="仿宋_GB2312" w:hAnsi="宋体" w:eastAsia="仿宋_GB2312" w:cs="Courier New"/>
          <w:b w:val="0"/>
          <w:bCs w:val="0"/>
          <w:sz w:val="32"/>
          <w:szCs w:val="32"/>
          <w:highlight w:val="none"/>
        </w:rPr>
        <w:t>指</w:t>
      </w:r>
      <w:r>
        <w:rPr>
          <w:rFonts w:hint="eastAsia" w:ascii="仿宋_GB2312" w:hAnsi="宋体" w:eastAsia="仿宋_GB2312" w:cs="Courier New"/>
          <w:b w:val="0"/>
          <w:bCs w:val="0"/>
          <w:sz w:val="32"/>
          <w:szCs w:val="32"/>
          <w:highlight w:val="none"/>
          <w:lang w:eastAsia="zh-CN"/>
        </w:rPr>
        <w:t>本部门取得的</w:t>
      </w:r>
      <w:r>
        <w:rPr>
          <w:rFonts w:hint="eastAsia" w:ascii="仿宋_GB2312" w:hAnsi="宋体" w:eastAsia="仿宋_GB2312" w:cs="Courier New"/>
          <w:b w:val="0"/>
          <w:bCs w:val="0"/>
          <w:sz w:val="32"/>
          <w:szCs w:val="32"/>
          <w:highlight w:val="none"/>
        </w:rPr>
        <w:t>除“财政拨款</w:t>
      </w:r>
      <w:r>
        <w:rPr>
          <w:rFonts w:hint="eastAsia" w:ascii="仿宋_GB2312" w:hAnsi="宋体" w:eastAsia="仿宋_GB2312" w:cs="Courier New"/>
          <w:b w:val="0"/>
          <w:bCs w:val="0"/>
          <w:sz w:val="32"/>
          <w:szCs w:val="32"/>
          <w:highlight w:val="none"/>
          <w:lang w:eastAsia="zh-CN"/>
        </w:rPr>
        <w:t>收入</w:t>
      </w:r>
      <w:r>
        <w:rPr>
          <w:rFonts w:hint="eastAsia" w:ascii="仿宋_GB2312" w:hAnsi="宋体" w:eastAsia="仿宋_GB2312" w:cs="Courier New"/>
          <w:b w:val="0"/>
          <w:bCs w:val="0"/>
          <w:sz w:val="32"/>
          <w:szCs w:val="32"/>
          <w:highlight w:val="none"/>
        </w:rPr>
        <w:t>”、“事业收入”、“经营收入”等以外的收入。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highlight w:val="yellow"/>
        </w:rPr>
        <w:t>指事业单位在当年的“财政拨款收入”、“事业收入”和“其他收入”</w:t>
      </w:r>
      <w:r>
        <w:rPr>
          <w:rFonts w:hint="eastAsia" w:ascii="仿宋_GB2312" w:hAnsi="宋体" w:eastAsia="仿宋_GB2312" w:cs="Courier New"/>
          <w:sz w:val="32"/>
          <w:szCs w:val="32"/>
        </w:rPr>
        <w:t>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highlight w:val="none"/>
        </w:rPr>
        <w:t>五、年末结转和结余：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八、</w:t>
      </w:r>
      <w:r>
        <w:rPr>
          <w:rFonts w:hint="eastAsia" w:ascii="仿宋_GB2312" w:hAnsi="仿宋_GB2312" w:eastAsia="仿宋_GB2312" w:cs="仿宋_GB2312"/>
          <w:b/>
          <w:bCs/>
          <w:sz w:val="32"/>
          <w:szCs w:val="32"/>
        </w:rPr>
        <w:t>外交（类）国际组织（款）国际组织会费（项）</w:t>
      </w:r>
      <w:r>
        <w:rPr>
          <w:rFonts w:hint="eastAsia" w:ascii="仿宋_GB2312" w:hAnsi="仿宋_GB2312" w:eastAsia="仿宋_GB2312" w:cs="仿宋_GB2312"/>
          <w:b/>
          <w:bCs/>
          <w:sz w:val="32"/>
          <w:szCs w:val="32"/>
          <w:highlight w:val="yellow"/>
          <w:lang w:eastAsia="zh-CN"/>
        </w:rPr>
        <w:t>（根据本单位公开</w:t>
      </w:r>
      <w:r>
        <w:rPr>
          <w:rFonts w:hint="eastAsia" w:ascii="仿宋_GB2312" w:hAnsi="仿宋_GB2312" w:eastAsia="仿宋_GB2312" w:cs="仿宋_GB2312"/>
          <w:b/>
          <w:bCs/>
          <w:sz w:val="32"/>
          <w:szCs w:val="32"/>
          <w:highlight w:val="yellow"/>
          <w:lang w:val="en-US" w:eastAsia="zh-CN"/>
        </w:rPr>
        <w:t>03表填写</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b/>
          <w:bCs/>
          <w:sz w:val="32"/>
          <w:szCs w:val="32"/>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九</w:t>
      </w:r>
      <w:r>
        <w:rPr>
          <w:rFonts w:hint="eastAsia" w:ascii="仿宋_GB2312" w:hAnsi="宋体" w:eastAsia="仿宋_GB2312" w:cs="Courier New"/>
          <w:b/>
          <w:bCs/>
          <w:sz w:val="32"/>
          <w:szCs w:val="32"/>
        </w:rPr>
        <w:t>、外交（类）国际组织（款）国际组织捐赠（项）</w:t>
      </w:r>
      <w:r>
        <w:rPr>
          <w:rFonts w:hint="eastAsia" w:ascii="仿宋_GB2312" w:hAnsi="仿宋_GB2312" w:eastAsia="仿宋_GB2312" w:cs="仿宋_GB2312"/>
          <w:b/>
          <w:bCs/>
          <w:sz w:val="32"/>
          <w:szCs w:val="32"/>
          <w:highlight w:val="yellow"/>
          <w:lang w:eastAsia="zh-CN"/>
        </w:rPr>
        <w:t>（根据本单位公开</w:t>
      </w:r>
      <w:r>
        <w:rPr>
          <w:rFonts w:hint="eastAsia" w:ascii="仿宋_GB2312" w:hAnsi="仿宋_GB2312" w:eastAsia="仿宋_GB2312" w:cs="仿宋_GB2312"/>
          <w:b/>
          <w:bCs/>
          <w:sz w:val="32"/>
          <w:szCs w:val="32"/>
          <w:highlight w:val="yellow"/>
          <w:lang w:val="en-US" w:eastAsia="zh-CN"/>
        </w:rPr>
        <w:t>03表填写</w:t>
      </w:r>
      <w:r>
        <w:rPr>
          <w:rFonts w:hint="eastAsia" w:ascii="仿宋_GB2312" w:hAnsi="仿宋_GB2312" w:eastAsia="仿宋_GB2312" w:cs="仿宋_GB2312"/>
          <w:b/>
          <w:bCs/>
          <w:sz w:val="32"/>
          <w:szCs w:val="32"/>
          <w:highlight w:val="yellow"/>
          <w:lang w:eastAsia="zh-CN"/>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十</w:t>
      </w:r>
      <w:r>
        <w:rPr>
          <w:rFonts w:hint="eastAsia" w:ascii="仿宋_GB2312" w:hAnsi="宋体" w:eastAsia="仿宋_GB2312" w:cs="Courier New"/>
          <w:b/>
          <w:bCs/>
          <w:sz w:val="32"/>
          <w:szCs w:val="32"/>
        </w:rPr>
        <w:t>、外交（类）国际组织（款）国际组织股金及基金（项）</w:t>
      </w:r>
      <w:r>
        <w:rPr>
          <w:rFonts w:hint="eastAsia" w:ascii="仿宋_GB2312" w:hAnsi="仿宋_GB2312" w:eastAsia="仿宋_GB2312" w:cs="仿宋_GB2312"/>
          <w:b/>
          <w:bCs/>
          <w:sz w:val="32"/>
          <w:szCs w:val="32"/>
          <w:highlight w:val="yellow"/>
          <w:lang w:eastAsia="zh-CN"/>
        </w:rPr>
        <w:t>（根据本单位公开</w:t>
      </w:r>
      <w:r>
        <w:rPr>
          <w:rFonts w:hint="eastAsia" w:ascii="仿宋_GB2312" w:hAnsi="仿宋_GB2312" w:eastAsia="仿宋_GB2312" w:cs="仿宋_GB2312"/>
          <w:b/>
          <w:bCs/>
          <w:sz w:val="32"/>
          <w:szCs w:val="32"/>
          <w:highlight w:val="yellow"/>
          <w:lang w:val="en-US" w:eastAsia="zh-CN"/>
        </w:rPr>
        <w:t>03表填写</w:t>
      </w:r>
      <w:r>
        <w:rPr>
          <w:rFonts w:hint="eastAsia" w:ascii="仿宋_GB2312" w:hAnsi="仿宋_GB2312" w:eastAsia="仿宋_GB2312" w:cs="仿宋_GB2312"/>
          <w:b/>
          <w:bCs/>
          <w:sz w:val="32"/>
          <w:szCs w:val="32"/>
          <w:highlight w:val="yellow"/>
          <w:lang w:eastAsia="zh-CN"/>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九十</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纳入省级财政预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九</w:t>
      </w:r>
      <w:r>
        <w:rPr>
          <w:rFonts w:hint="eastAsia" w:ascii="仿宋_GB2312" w:hAnsi="宋体" w:eastAsia="仿宋_GB2312" w:cs="Courier New"/>
          <w:b/>
          <w:bCs/>
          <w:sz w:val="32"/>
          <w:szCs w:val="32"/>
        </w:rPr>
        <w:t>十</w:t>
      </w:r>
      <w:r>
        <w:rPr>
          <w:rFonts w:hint="eastAsia" w:ascii="仿宋_GB2312" w:hAnsi="宋体" w:eastAsia="仿宋_GB2312" w:cs="Courier New"/>
          <w:b/>
          <w:bCs/>
          <w:sz w:val="32"/>
          <w:szCs w:val="32"/>
          <w:lang w:eastAsia="zh-CN"/>
        </w:rPr>
        <w:t>一</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r>
        <w:rPr>
          <w:rFonts w:hint="eastAsia" w:ascii="仿宋_GB2312" w:hAnsi="宋体" w:eastAsia="仿宋_GB2312" w:cs="Courier New"/>
          <w:b/>
          <w:bCs/>
          <w:sz w:val="52"/>
          <w:szCs w:val="52"/>
          <w:highlight w:val="yellow"/>
          <w:lang w:val="en-US" w:eastAsia="zh-CN"/>
        </w:rPr>
        <w:t>保存为PDF版本的方法：</w:t>
      </w:r>
      <w:r>
        <w:rPr>
          <w:rFonts w:hint="eastAsia" w:ascii="仿宋_GB2312" w:hAnsi="宋体" w:eastAsia="仿宋_GB2312" w:cs="Courier New"/>
          <w:sz w:val="52"/>
          <w:szCs w:val="52"/>
          <w:highlight w:val="yellow"/>
          <w:lang w:val="en-US" w:eastAsia="zh-CN"/>
        </w:rPr>
        <w:t>百度wps、下载安装、打开wps软件、单击左上角wps文字-另存为-输出为PDF格式。</w:t>
      </w: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小标宋简体">
    <w:altName w:val="微软雅黑"/>
    <w:panose1 w:val="02010601030101010101"/>
    <w:charset w:val="86"/>
    <w:family w:val="script"/>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roman"/>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Segoe Print"/>
    <w:panose1 w:val="02010609000101010101"/>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Segoe Print"/>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隶书"/>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隶书">
    <w:altName w:val="隶书"/>
    <w:panose1 w:val="02010609000101010101"/>
    <w:charset w:val="00"/>
    <w:family w:val="auto"/>
    <w:pitch w:val="default"/>
    <w:sig w:usb0="00000000" w:usb1="00000000" w:usb2="00000000" w:usb3="00000000" w:csb0="00000000" w:csb1="00000000"/>
  </w:font>
  <w:font w:name="文星简魏体">
    <w:altName w:val="Segoe Print"/>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eiryo">
    <w:altName w:val="Yu Gothic UI"/>
    <w:panose1 w:val="020B0604030504040204"/>
    <w:charset w:val="80"/>
    <w:family w:val="auto"/>
    <w:pitch w:val="default"/>
    <w:sig w:usb0="00000000" w:usb1="00000000" w:usb2="00010012" w:usb3="00000000" w:csb0="6002009F" w:csb1="DFD70000"/>
  </w:font>
  <w:font w:name="Meiryo UI">
    <w:altName w:val="Yu Gothic UI"/>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5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altName w:val="Yu Gothic UI Semibold"/>
    <w:panose1 w:val="02010803020104030203"/>
    <w:charset w:val="00"/>
    <w:family w:val="auto"/>
    <w:pitch w:val="default"/>
    <w:sig w:usb0="00000000"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auto"/>
    <w:pitch w:val="default"/>
    <w:sig w:usb0="00000000" w:usb1="00000000"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altName w:val="Yu Gothic UI"/>
    <w:panose1 w:val="02020600040205080304"/>
    <w:charset w:val="80"/>
    <w:family w:val="auto"/>
    <w:pitch w:val="default"/>
    <w:sig w:usb0="00000000" w:usb1="00000000" w:usb2="00000012" w:usb3="00000000" w:csb0="4002009F" w:csb1="DFD70000"/>
  </w:font>
  <w:font w:name="MS Outlook">
    <w:panose1 w:val="05010100010000000000"/>
    <w:charset w:val="00"/>
    <w:family w:val="auto"/>
    <w:pitch w:val="default"/>
    <w:sig w:usb0="00000000" w:usb1="00000000" w:usb2="00000000" w:usb3="00000000" w:csb0="80000000" w:csb1="00000000"/>
  </w:font>
  <w:font w:name="Modern No. 20">
    <w:panose1 w:val="02070704070505020303"/>
    <w:charset w:val="00"/>
    <w:family w:val="auto"/>
    <w:pitch w:val="default"/>
    <w:sig w:usb0="00000003" w:usb1="00000000" w:usb2="00000000" w:usb3="00000000" w:csb0="20000001" w:csb1="00000000"/>
  </w:font>
  <w:font w:name="Miriam">
    <w:altName w:val="Yu Gothic UI"/>
    <w:panose1 w:val="020B0502050101010101"/>
    <w:charset w:val="00"/>
    <w:family w:val="auto"/>
    <w:pitch w:val="default"/>
    <w:sig w:usb0="00000000" w:usb1="00000000" w:usb2="00000000" w:usb3="00000000" w:csb0="00000020" w:csb1="00200000"/>
  </w:font>
  <w:font w:name="Microsoft Uighur">
    <w:altName w:val="Wide Latin"/>
    <w:panose1 w:val="02000000000000000000"/>
    <w:charset w:val="00"/>
    <w:family w:val="auto"/>
    <w:pitch w:val="default"/>
    <w:sig w:usb0="00000000" w:usb1="00000000"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Segoe Print"/>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Segoe Print"/>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文星简舒同">
    <w:altName w:val="Segoe Print"/>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Segoe Print"/>
    <w:panose1 w:val="02010609000101010101"/>
    <w:charset w:val="00"/>
    <w:family w:val="auto"/>
    <w:pitch w:val="default"/>
    <w:sig w:usb0="00000000" w:usb1="00000000" w:usb2="00000000" w:usb3="00000000" w:csb0="00000000" w:csb1="00000000"/>
  </w:font>
  <w:font w:name="文星简大标宋">
    <w:altName w:val="微软雅黑"/>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Segoe Print"/>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Segoe Print"/>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Wide Latin">
    <w:panose1 w:val="020A0A07050505020404"/>
    <w:charset w:val="00"/>
    <w:family w:val="auto"/>
    <w:pitch w:val="default"/>
    <w:sig w:usb0="00000003"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BF7C"/>
    <w:multiLevelType w:val="singleLevel"/>
    <w:tmpl w:val="5971BF7C"/>
    <w:lvl w:ilvl="0" w:tentative="0">
      <w:start w:val="1"/>
      <w:numFmt w:val="chineseCounting"/>
      <w:suff w:val="nothing"/>
      <w:lvlText w:val="（%1）"/>
      <w:lvlJc w:val="left"/>
      <w:pPr>
        <w:ind w:left="0" w:firstLine="420"/>
      </w:pPr>
      <w:rPr>
        <w:rFonts w:hint="eastAsia"/>
      </w:rPr>
    </w:lvl>
  </w:abstractNum>
  <w:abstractNum w:abstractNumId="3">
    <w:nsid w:val="5971C193"/>
    <w:multiLevelType w:val="singleLevel"/>
    <w:tmpl w:val="5971C193"/>
    <w:lvl w:ilvl="0" w:tentative="0">
      <w:start w:val="2"/>
      <w:numFmt w:val="chineseCounting"/>
      <w:suff w:val="nothing"/>
      <w:lvlText w:val="%1、"/>
      <w:lvlJc w:val="left"/>
    </w:lvl>
  </w:abstractNum>
  <w:abstractNum w:abstractNumId="4">
    <w:nsid w:val="5971C2CF"/>
    <w:multiLevelType w:val="singleLevel"/>
    <w:tmpl w:val="5971C2CF"/>
    <w:lvl w:ilvl="0" w:tentative="0">
      <w:start w:val="1"/>
      <w:numFmt w:val="decimal"/>
      <w:suff w:val="nothing"/>
      <w:lvlText w:val="%1．"/>
      <w:lvlJc w:val="left"/>
      <w:pPr>
        <w:ind w:left="0" w:firstLine="400"/>
      </w:pPr>
      <w:rPr>
        <w:rFonts w:hint="default"/>
      </w:rPr>
    </w:lvl>
  </w:abstractNum>
  <w:abstractNum w:abstractNumId="5">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6">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7">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8">
    <w:nsid w:val="5971E093"/>
    <w:multiLevelType w:val="singleLevel"/>
    <w:tmpl w:val="5971E093"/>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B458CF"/>
    <w:rsid w:val="00CD71F9"/>
    <w:rsid w:val="012E6190"/>
    <w:rsid w:val="04453648"/>
    <w:rsid w:val="051C670E"/>
    <w:rsid w:val="05DB00B9"/>
    <w:rsid w:val="09BB2134"/>
    <w:rsid w:val="0CA434B9"/>
    <w:rsid w:val="0E4C156E"/>
    <w:rsid w:val="0E7129EE"/>
    <w:rsid w:val="0E8A1509"/>
    <w:rsid w:val="0F095976"/>
    <w:rsid w:val="10BD4691"/>
    <w:rsid w:val="11585E8B"/>
    <w:rsid w:val="148808AE"/>
    <w:rsid w:val="15006456"/>
    <w:rsid w:val="15492582"/>
    <w:rsid w:val="18F44D57"/>
    <w:rsid w:val="1A326B7B"/>
    <w:rsid w:val="1D415527"/>
    <w:rsid w:val="1D9555D3"/>
    <w:rsid w:val="1DD254D3"/>
    <w:rsid w:val="1E7D3B34"/>
    <w:rsid w:val="22A51050"/>
    <w:rsid w:val="273A36B4"/>
    <w:rsid w:val="283D43BA"/>
    <w:rsid w:val="29B70F08"/>
    <w:rsid w:val="2B494EF7"/>
    <w:rsid w:val="2B654A54"/>
    <w:rsid w:val="2BA4769A"/>
    <w:rsid w:val="2CD06EF4"/>
    <w:rsid w:val="2F335194"/>
    <w:rsid w:val="2F930051"/>
    <w:rsid w:val="30963758"/>
    <w:rsid w:val="32EF40CE"/>
    <w:rsid w:val="34920D5F"/>
    <w:rsid w:val="35AB7798"/>
    <w:rsid w:val="368819C3"/>
    <w:rsid w:val="372974AC"/>
    <w:rsid w:val="37515EC2"/>
    <w:rsid w:val="37DD122E"/>
    <w:rsid w:val="3949702E"/>
    <w:rsid w:val="39B01B68"/>
    <w:rsid w:val="3BE408BA"/>
    <w:rsid w:val="3C7F703B"/>
    <w:rsid w:val="3D70189E"/>
    <w:rsid w:val="3EE36E4B"/>
    <w:rsid w:val="4082155B"/>
    <w:rsid w:val="41334835"/>
    <w:rsid w:val="42271DDB"/>
    <w:rsid w:val="43910C0D"/>
    <w:rsid w:val="488D71B2"/>
    <w:rsid w:val="48B52937"/>
    <w:rsid w:val="48EE3EF3"/>
    <w:rsid w:val="4ACF2CFE"/>
    <w:rsid w:val="4C1E2F28"/>
    <w:rsid w:val="4C370A5D"/>
    <w:rsid w:val="4CFC29CC"/>
    <w:rsid w:val="4D6E1856"/>
    <w:rsid w:val="4E6A02A2"/>
    <w:rsid w:val="500D38D5"/>
    <w:rsid w:val="502C04C1"/>
    <w:rsid w:val="51DE24AB"/>
    <w:rsid w:val="5651051D"/>
    <w:rsid w:val="56EC004A"/>
    <w:rsid w:val="57E961A8"/>
    <w:rsid w:val="57F81DB3"/>
    <w:rsid w:val="581E77CF"/>
    <w:rsid w:val="58B06254"/>
    <w:rsid w:val="59695C8E"/>
    <w:rsid w:val="5AF25131"/>
    <w:rsid w:val="600176AC"/>
    <w:rsid w:val="61D91DE6"/>
    <w:rsid w:val="634F2D43"/>
    <w:rsid w:val="646E5365"/>
    <w:rsid w:val="65332BB8"/>
    <w:rsid w:val="657111FD"/>
    <w:rsid w:val="664A46E0"/>
    <w:rsid w:val="66755D81"/>
    <w:rsid w:val="68A121F7"/>
    <w:rsid w:val="68A9241E"/>
    <w:rsid w:val="6B6D695A"/>
    <w:rsid w:val="6BEA179A"/>
    <w:rsid w:val="6FD41D7F"/>
    <w:rsid w:val="720321E3"/>
    <w:rsid w:val="72416639"/>
    <w:rsid w:val="738C1FE2"/>
    <w:rsid w:val="75531EF6"/>
    <w:rsid w:val="75611CA1"/>
    <w:rsid w:val="75D0003D"/>
    <w:rsid w:val="764F7877"/>
    <w:rsid w:val="7AA141FF"/>
    <w:rsid w:val="7C445B57"/>
    <w:rsid w:val="7D713C10"/>
    <w:rsid w:val="7E8E76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31"/>
    <w:basedOn w:val="4"/>
    <w:qFormat/>
    <w:uiPriority w:val="0"/>
    <w:rPr>
      <w:rFonts w:ascii="Arial" w:hAnsi="Arial" w:cs="Arial"/>
      <w:color w:val="000000"/>
      <w:sz w:val="16"/>
      <w:szCs w:val="16"/>
      <w:u w:val="none"/>
    </w:rPr>
  </w:style>
  <w:style w:type="character" w:customStyle="1" w:styleId="7">
    <w:name w:val="font01"/>
    <w:basedOn w:val="4"/>
    <w:qFormat/>
    <w:uiPriority w:val="0"/>
    <w:rPr>
      <w:rFonts w:hint="default" w:ascii="Arial" w:hAnsi="Arial" w:cs="Arial"/>
      <w:color w:val="000000"/>
      <w:sz w:val="16"/>
      <w:szCs w:val="16"/>
      <w:u w:val="none"/>
    </w:rPr>
  </w:style>
  <w:style w:type="character" w:customStyle="1" w:styleId="8">
    <w:name w:val="font4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lenovo</cp:lastModifiedBy>
  <cp:lastPrinted>2017-07-25T02:47:00Z</cp:lastPrinted>
  <dcterms:modified xsi:type="dcterms:W3CDTF">2017-10-11T02:56:23Z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