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-150" w:right="-150"/>
        <w:jc w:val="center"/>
      </w:pPr>
      <w:r>
        <w:rPr>
          <w:color w:val="333333"/>
        </w:rPr>
        <w:t>2017</w:t>
      </w:r>
      <w:r>
        <w:rPr>
          <w:rFonts w:hint="eastAsia"/>
          <w:color w:val="333333"/>
          <w:lang w:eastAsia="zh-CN"/>
        </w:rPr>
        <w:t>台前</w:t>
      </w:r>
      <w:r>
        <w:rPr>
          <w:color w:val="333333"/>
        </w:rPr>
        <w:t>“三公”经费预算情况说明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-150" w:right="-150" w:firstLine="42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-150" w:right="-150" w:firstLine="420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  <w:lang w:eastAsia="zh-CN"/>
        </w:rPr>
        <w:t>台前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2017年“三公”经费预算为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748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万元。其中：公务接待费预算为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137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万元、公务用车购置及运行维护费预算为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611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 xml:space="preserve">万元。具体情况如下：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-150" w:right="-150" w:firstLine="420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(一)公务接待费支出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137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万元，较上年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153万元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下降1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 xml:space="preserve">%，主要用于接待上级、各部门业务指导和工作调研等公务往来支出。经费使用贯彻党中央“八项规定”，严格执行《党政机关厉行节约反对浪费条例》等相关规定。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-150" w:right="-150" w:firstLine="420"/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(三)公务用车购置及运行维护费支出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611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万元,较上年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690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下降1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val="en-US" w:eastAsia="zh-CN"/>
        </w:rPr>
        <w:t>1.44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>%，主要用于车辆燃料费、维修费、过路过桥费、保险费等支出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  <w:lang w:eastAsia="zh-CN"/>
        </w:rPr>
        <w:t>和</w:t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 xml:space="preserve">用于现有公务及执法用车报废更新。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-150" w:right="-150" w:firstLine="420"/>
      </w:pPr>
      <w:r>
        <w:rPr>
          <w:rFonts w:hint="eastAsia" w:ascii="微软雅黑" w:hAnsi="微软雅黑" w:eastAsia="微软雅黑" w:cs="微软雅黑"/>
          <w:sz w:val="27"/>
          <w:szCs w:val="27"/>
        </w:rPr>
        <w:fldChar w:fldCharType="begin"/>
      </w:r>
      <w:r>
        <w:rPr>
          <w:rFonts w:hint="eastAsia" w:ascii="微软雅黑" w:hAnsi="微软雅黑" w:eastAsia="微软雅黑" w:cs="微软雅黑"/>
          <w:sz w:val="27"/>
          <w:szCs w:val="27"/>
        </w:rPr>
        <w:instrText xml:space="preserve"> HYPERLINK "http://open.nanle.gov.cn/attached/file/20170427/20170427172403_398.xlsx" \t "http://www.nanle.gov.cn/2017/0427/_blank" </w:instrText>
      </w:r>
      <w:r>
        <w:rPr>
          <w:rFonts w:hint="eastAsia" w:ascii="微软雅黑" w:hAnsi="微软雅黑" w:eastAsia="微软雅黑" w:cs="微软雅黑"/>
          <w:sz w:val="27"/>
          <w:szCs w:val="27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sz w:val="27"/>
          <w:szCs w:val="27"/>
        </w:rPr>
        <w:t>附件：“三公”经费预算表</w:t>
      </w:r>
      <w:r>
        <w:rPr>
          <w:rFonts w:hint="eastAsia" w:ascii="微软雅黑" w:hAnsi="微软雅黑" w:eastAsia="微软雅黑" w:cs="微软雅黑"/>
          <w:sz w:val="27"/>
          <w:szCs w:val="27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 xml:space="preserve"> </w:t>
      </w: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B2375"/>
    <w:rsid w:val="1EFB2375"/>
    <w:rsid w:val="28741D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225" w:afterAutospacing="0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2017-10-26T10:45:00Z</dcterms:created>
  <dc:creator>Administrator</dc:creator>
  <cp:lastModifiedBy>Administrator</cp:lastModifiedBy>
  <dcterms:modified xsi:type="dcterms:W3CDTF">2017-10-26T10:58:04Z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