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lang w:eastAsia="zh-CN"/>
        </w:rPr>
        <w:t>台前县住建局</w:t>
      </w:r>
    </w:p>
    <w:p>
      <w:pPr>
        <w:jc w:val="center"/>
        <w:rPr>
          <w:rFonts w:ascii="黑体" w:hAnsi="黑体" w:eastAsia="黑体" w:cs="黑体"/>
          <w:sz w:val="52"/>
          <w:szCs w:val="52"/>
        </w:rPr>
      </w:pPr>
    </w:p>
    <w:p>
      <w:pPr>
        <w:jc w:val="center"/>
        <w:rPr>
          <w:rFonts w:ascii="隶书" w:hAnsi="隶书" w:eastAsia="隶书" w:cs="隶书"/>
          <w:sz w:val="52"/>
          <w:szCs w:val="52"/>
        </w:rPr>
        <w:sectPr>
          <w:pgSz w:w="11906" w:h="16838"/>
          <w:pgMar w:top="1440" w:right="1531" w:bottom="1440" w:left="1587" w:header="850" w:footer="992" w:gutter="0"/>
          <w:pgNumType w:fmt="numberInDash" w:start="1"/>
          <w:cols w:space="0" w:num="1"/>
          <w:rtlGutter w:val="0"/>
          <w:docGrid w:type="lines" w:linePitch="317" w:charSpace="0"/>
        </w:sectPr>
      </w:pPr>
      <w:r>
        <w:rPr>
          <w:rFonts w:hint="eastAsia" w:ascii="隶书" w:hAnsi="隶书" w:eastAsia="隶书" w:cs="隶书"/>
          <w:sz w:val="52"/>
          <w:szCs w:val="52"/>
        </w:rPr>
        <w:t>2016年度部门决算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住建局</w:t>
      </w:r>
      <w:r>
        <w:rPr>
          <w:rFonts w:hint="eastAsia" w:ascii="黑体" w:hAnsi="黑体" w:eastAsia="黑体" w:cs="黑体"/>
          <w:sz w:val="32"/>
          <w:szCs w:val="32"/>
        </w:rPr>
        <w:t>概况</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主要</w:t>
      </w:r>
      <w:r>
        <w:rPr>
          <w:rFonts w:hint="eastAsia" w:ascii="宋体" w:hAnsi="宋体" w:eastAsia="宋体" w:cs="宋体"/>
          <w:sz w:val="32"/>
          <w:szCs w:val="32"/>
          <w:lang w:eastAsia="zh-CN"/>
        </w:rPr>
        <w:t>职责</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住建局</w:t>
      </w:r>
      <w:r>
        <w:rPr>
          <w:rFonts w:hint="eastAsia" w:ascii="黑体" w:hAnsi="黑体" w:eastAsia="黑体" w:cs="黑体"/>
          <w:sz w:val="32"/>
          <w:szCs w:val="32"/>
        </w:rPr>
        <w:t>2016年度部门决算表</w:t>
      </w:r>
    </w:p>
    <w:p>
      <w:pPr>
        <w:jc w:val="left"/>
        <w:rPr>
          <w:rFonts w:ascii="宋体" w:hAnsi="宋体" w:eastAsia="宋体" w:cs="宋体"/>
          <w:sz w:val="32"/>
          <w:szCs w:val="32"/>
        </w:rPr>
      </w:pPr>
      <w:r>
        <w:rPr>
          <w:rFonts w:hint="eastAsia" w:ascii="宋体" w:hAnsi="宋体" w:eastAsia="宋体" w:cs="宋体"/>
          <w:sz w:val="32"/>
          <w:szCs w:val="32"/>
        </w:rPr>
        <w:t>一、收入支出决算总表</w:t>
      </w:r>
    </w:p>
    <w:p>
      <w:pPr>
        <w:jc w:val="left"/>
        <w:rPr>
          <w:rFonts w:ascii="宋体" w:hAnsi="宋体" w:eastAsia="宋体" w:cs="宋体"/>
          <w:sz w:val="32"/>
          <w:szCs w:val="32"/>
        </w:rPr>
      </w:pPr>
      <w:r>
        <w:rPr>
          <w:rFonts w:hint="eastAsia" w:ascii="宋体" w:hAnsi="宋体" w:eastAsia="宋体" w:cs="宋体"/>
          <w:sz w:val="32"/>
          <w:szCs w:val="32"/>
        </w:rPr>
        <w:t>二、收入决算表</w:t>
      </w:r>
    </w:p>
    <w:p>
      <w:pPr>
        <w:jc w:val="left"/>
        <w:rPr>
          <w:rFonts w:ascii="宋体" w:hAnsi="宋体" w:eastAsia="宋体" w:cs="宋体"/>
          <w:sz w:val="32"/>
          <w:szCs w:val="32"/>
        </w:rPr>
      </w:pPr>
      <w:r>
        <w:rPr>
          <w:rFonts w:hint="eastAsia" w:ascii="宋体" w:hAnsi="宋体" w:eastAsia="宋体" w:cs="宋体"/>
          <w:sz w:val="32"/>
          <w:szCs w:val="32"/>
        </w:rPr>
        <w:t>三、支出决算表</w:t>
      </w:r>
    </w:p>
    <w:p>
      <w:pPr>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住建局</w:t>
      </w:r>
      <w:r>
        <w:rPr>
          <w:rFonts w:hint="eastAsia" w:ascii="黑体" w:hAnsi="黑体" w:eastAsia="黑体" w:cs="黑体"/>
          <w:sz w:val="32"/>
          <w:szCs w:val="32"/>
        </w:rPr>
        <w:t>2016年度部门决算情况说明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0" w:num="1"/>
          <w:rtlGutter w:val="0"/>
          <w:docGrid w:type="lines" w:linePitch="317" w:charSpace="0"/>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footerReference r:id="rId4" w:type="default"/>
          <w:pgSz w:w="11906" w:h="16838"/>
          <w:pgMar w:top="1440" w:right="1531" w:bottom="1440" w:left="1587" w:header="850" w:footer="992" w:gutter="0"/>
          <w:pgNumType w:fmt="numberInDash" w:start="1"/>
          <w:cols w:space="0" w:num="1"/>
          <w:rtlGutter w:val="0"/>
          <w:docGrid w:type="lines" w:linePitch="317" w:charSpace="0"/>
        </w:sectPr>
      </w:pPr>
      <w:r>
        <w:rPr>
          <w:rFonts w:hint="eastAsia" w:ascii="隶书" w:hAnsi="隶书" w:eastAsia="隶书" w:cs="隶书"/>
          <w:sz w:val="48"/>
          <w:szCs w:val="48"/>
        </w:rPr>
        <w:t>第一部分　　</w:t>
      </w:r>
      <w:r>
        <w:rPr>
          <w:rFonts w:hint="eastAsia" w:ascii="隶书" w:hAnsi="隶书" w:eastAsia="隶书" w:cs="隶书"/>
          <w:sz w:val="48"/>
          <w:szCs w:val="48"/>
          <w:lang w:eastAsia="zh-CN"/>
        </w:rPr>
        <w:t>住建局</w:t>
      </w:r>
      <w:r>
        <w:rPr>
          <w:rFonts w:hint="eastAsia" w:ascii="隶书" w:hAnsi="隶书" w:eastAsia="隶书" w:cs="隶书"/>
          <w:sz w:val="48"/>
          <w:szCs w:val="48"/>
        </w:rPr>
        <w:t>概况</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主要</w:t>
      </w:r>
      <w:r>
        <w:rPr>
          <w:rFonts w:hint="eastAsia" w:ascii="黑体" w:hAnsi="黑体" w:eastAsia="黑体" w:cs="黑体"/>
          <w:sz w:val="32"/>
          <w:szCs w:val="32"/>
          <w:lang w:eastAsia="zh-CN"/>
        </w:rPr>
        <w:t>职责</w:t>
      </w:r>
    </w:p>
    <w:p>
      <w:pPr>
        <w:pStyle w:val="4"/>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承担保障城镇低收入家庭住房的责任；承担推进住房制度改革的责任；承担规范住房和城乡规划建设管理秩序的责任；承担规范房地产试产秩序、监督管理房地产市场的责任；监督管理建筑市场，规范市场各方主体行为；承担规范勘察设计咨询市场秩序、监督管理勘察设计咨询质量的责任；承担综合管理工程建设标准体系的责任；承担城市建设管理工作的责任；承担规范和指导全县村镇建设的责任；承担建筑工程质量安全和施工安全监管责任；承担推进建筑节能、城镇减排等责任。</w:t>
      </w:r>
    </w:p>
    <w:p>
      <w:pPr>
        <w:numPr>
          <w:ilvl w:val="0"/>
          <w:numId w:val="3"/>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numPr>
          <w:ilvl w:val="0"/>
          <w:numId w:val="0"/>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本地部门决算包括本级及房产管理中心决算。</w:t>
      </w:r>
    </w:p>
    <w:p>
      <w:pPr>
        <w:spacing w:line="360" w:lineRule="auto"/>
        <w:ind w:firstLine="640" w:firstLineChars="200"/>
        <w:jc w:val="left"/>
        <w:rPr>
          <w:rFonts w:hint="eastAsia" w:ascii="仿宋_GB2312" w:hAnsi="仿宋_GB2312" w:eastAsia="仿宋_GB2312" w:cs="仿宋_GB2312"/>
          <w:sz w:val="32"/>
          <w:szCs w:val="32"/>
          <w:lang w:val="en-US" w:eastAsia="zh-CN"/>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lang w:eastAsia="zh-CN"/>
        </w:rPr>
        <w:t>住建局</w:t>
      </w:r>
      <w:r>
        <w:rPr>
          <w:rFonts w:hint="eastAsia" w:ascii="隶书" w:hAnsi="隶书" w:eastAsia="隶书" w:cs="隶书"/>
          <w:sz w:val="48"/>
          <w:szCs w:val="48"/>
        </w:rPr>
        <w:t>2016年度部门决算表</w:t>
      </w:r>
    </w:p>
    <w:tbl>
      <w:tblPr>
        <w:tblStyle w:val="6"/>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74"/>
        <w:gridCol w:w="321"/>
        <w:gridCol w:w="587"/>
        <w:gridCol w:w="472"/>
        <w:gridCol w:w="1316"/>
        <w:gridCol w:w="2472"/>
        <w:gridCol w:w="334"/>
        <w:gridCol w:w="338"/>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50" w:type="dxa"/>
            <w:gridSpan w:val="10"/>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rPr>
                <w:rFonts w:hint="eastAsia" w:ascii="宋体" w:hAnsi="宋体" w:eastAsia="宋体" w:cs="宋体"/>
                <w:i w:val="0"/>
                <w:color w:val="000000"/>
                <w:sz w:val="16"/>
                <w:szCs w:val="16"/>
                <w:u w:val="none"/>
              </w:rPr>
            </w:pP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收入</w:t>
            </w:r>
          </w:p>
        </w:tc>
        <w:tc>
          <w:tcPr>
            <w:tcW w:w="5280" w:type="dxa"/>
            <w:gridSpan w:val="5"/>
            <w:tcBorders>
              <w:top w:val="single" w:color="000000" w:sz="12" w:space="0"/>
              <w:left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w:t>
            </w: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行次</w:t>
            </w:r>
          </w:p>
        </w:tc>
        <w:tc>
          <w:tcPr>
            <w:tcW w:w="237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金额</w:t>
            </w: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行次</w:t>
            </w:r>
          </w:p>
        </w:tc>
        <w:tc>
          <w:tcPr>
            <w:tcW w:w="2474" w:type="dxa"/>
            <w:gridSpan w:val="3"/>
            <w:tcBorders>
              <w:top w:val="single" w:color="000000" w:sz="4" w:space="0"/>
              <w:left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栏次</w:t>
            </w: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Theme="minorEastAsia" w:hAnsiTheme="minorEastAsia" w:eastAsiaTheme="minorEastAsia" w:cstheme="minorEastAsia"/>
                <w:b/>
                <w:i w:val="0"/>
                <w:color w:val="000000"/>
                <w:sz w:val="18"/>
                <w:szCs w:val="18"/>
                <w:u w:val="none"/>
              </w:rPr>
            </w:pPr>
          </w:p>
        </w:tc>
        <w:tc>
          <w:tcPr>
            <w:tcW w:w="237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栏次</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Theme="minorEastAsia" w:hAnsiTheme="minorEastAsia" w:eastAsiaTheme="minorEastAsia" w:cstheme="minorEastAsia"/>
                <w:b/>
                <w:i w:val="0"/>
                <w:color w:val="000000"/>
                <w:sz w:val="18"/>
                <w:szCs w:val="18"/>
                <w:u w:val="none"/>
              </w:rPr>
            </w:pPr>
          </w:p>
        </w:tc>
        <w:tc>
          <w:tcPr>
            <w:tcW w:w="2474" w:type="dxa"/>
            <w:gridSpan w:val="3"/>
            <w:tcBorders>
              <w:top w:val="single" w:color="000000" w:sz="4" w:space="0"/>
              <w:left w:val="single" w:color="000000" w:sz="4" w:space="0"/>
              <w:bottom w:val="single" w:color="000000" w:sz="4" w:space="0"/>
              <w:right w:val="single" w:color="000000" w:sz="12"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一、财政拨款收入</w:t>
            </w: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32,02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21</w:t>
            </w: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一、一般公共服务支出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二、上级补助收入</w:t>
            </w: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二、外交支出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三、事业收入</w:t>
            </w: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三、国防支出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32</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四、经营收入</w:t>
            </w: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四、公共安全支出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33</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五、附属单位上缴收入</w:t>
            </w: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五、教育支出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六、其他收入</w:t>
            </w: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六、科学技术支出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七、文化体育与传媒支出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36</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八、社会保障和就业支出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37</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1,37</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5</w:t>
            </w:r>
            <w:r>
              <w:rPr>
                <w:rFonts w:hint="eastAsia" w:asciiTheme="minorEastAsia" w:hAnsiTheme="minorEastAsia" w:cstheme="minorEastAsia"/>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九、医疗卫生与计划生育支出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38</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十、节能环保支出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39</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十一、城乡社区支出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26,43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4</w:t>
            </w:r>
            <w:r>
              <w:rPr>
                <w:rFonts w:hint="eastAsia" w:asciiTheme="minorEastAsia" w:hAnsiTheme="minorEastAsia" w:cstheme="minorEastAsia"/>
                <w:i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十二、农林水支出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41</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十三、交通运输支出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42</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十四、资源勘探信息等支出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43</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十五、商业服务业等支出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44</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十六、金融支出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45</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17</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十七、援助其他地区支出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46</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十八、国土海洋气象等支出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47</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19</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十九、住房保障支出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48</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二十、粮油物资储备支出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49</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二十一、其他支出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二十二、债务还本支出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51</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23</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二十三、债务付息支出</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52</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24</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53</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本年收入合计</w:t>
            </w: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25</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32,02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w:t>
            </w:r>
            <w:r>
              <w:rPr>
                <w:rFonts w:hint="eastAsia" w:asciiTheme="minorEastAsia" w:hAnsiTheme="minorEastAsia" w:cstheme="minorEastAsia"/>
                <w:i w:val="0"/>
                <w:color w:val="000000"/>
                <w:kern w:val="0"/>
                <w:sz w:val="18"/>
                <w:szCs w:val="18"/>
                <w:u w:val="none"/>
                <w:lang w:val="en-US" w:eastAsia="zh-CN" w:bidi="ar"/>
              </w:rPr>
              <w:t>1</w:t>
            </w: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本年支出合计</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54</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32,02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用事业基金弥补收支差额</w:t>
            </w: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26</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结余分配</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年初结转和结余</w:t>
            </w: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27</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年末结转和结余</w:t>
            </w: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56</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2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28</w:t>
            </w:r>
          </w:p>
        </w:tc>
        <w:tc>
          <w:tcPr>
            <w:tcW w:w="2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247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left"/>
              <w:rPr>
                <w:rFonts w:hint="eastAsia" w:asciiTheme="minorEastAsia" w:hAnsiTheme="minorEastAsia" w:eastAsiaTheme="minorEastAsia" w:cstheme="minorEastAsia"/>
                <w:i w:val="0"/>
                <w:color w:val="000000"/>
                <w:sz w:val="18"/>
                <w:szCs w:val="18"/>
                <w:u w:val="none"/>
              </w:rPr>
            </w:pPr>
          </w:p>
        </w:tc>
        <w:tc>
          <w:tcPr>
            <w:tcW w:w="334"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57</w:t>
            </w:r>
          </w:p>
        </w:tc>
        <w:tc>
          <w:tcPr>
            <w:tcW w:w="247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74" w:type="dxa"/>
            <w:tcBorders>
              <w:top w:val="single" w:color="000000" w:sz="4" w:space="0"/>
              <w:left w:val="single" w:color="000000" w:sz="12"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总计</w:t>
            </w:r>
          </w:p>
        </w:tc>
        <w:tc>
          <w:tcPr>
            <w:tcW w:w="321" w:type="dxa"/>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29</w:t>
            </w:r>
          </w:p>
        </w:tc>
        <w:tc>
          <w:tcPr>
            <w:tcW w:w="237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32,02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w:t>
            </w:r>
            <w:r>
              <w:rPr>
                <w:rFonts w:hint="eastAsia" w:asciiTheme="minorEastAsia" w:hAnsiTheme="minorEastAsia" w:cstheme="minorEastAsia"/>
                <w:i w:val="0"/>
                <w:color w:val="000000"/>
                <w:kern w:val="0"/>
                <w:sz w:val="18"/>
                <w:szCs w:val="18"/>
                <w:u w:val="none"/>
                <w:lang w:val="en-US" w:eastAsia="zh-CN" w:bidi="ar"/>
              </w:rPr>
              <w:t>1</w:t>
            </w:r>
          </w:p>
        </w:tc>
        <w:tc>
          <w:tcPr>
            <w:tcW w:w="2472" w:type="dxa"/>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总计</w:t>
            </w:r>
          </w:p>
        </w:tc>
        <w:tc>
          <w:tcPr>
            <w:tcW w:w="334" w:type="dxa"/>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58</w:t>
            </w:r>
          </w:p>
        </w:tc>
        <w:tc>
          <w:tcPr>
            <w:tcW w:w="2474"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32,02</w:t>
            </w:r>
            <w:r>
              <w:rPr>
                <w:rFonts w:hint="eastAsia" w:asciiTheme="minorEastAsia" w:hAnsiTheme="minorEastAsia" w:cstheme="minorEastAsia"/>
                <w:i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注：本表反映部门本年度的总收支和年末结转结余情况。</w:t>
            </w:r>
          </w:p>
        </w:tc>
      </w:tr>
    </w:tbl>
    <w:p>
      <w:pPr>
        <w:spacing w:line="360" w:lineRule="auto"/>
        <w:jc w:val="both"/>
        <w:rPr>
          <w:rFonts w:hint="eastAsia" w:asciiTheme="minorEastAsia" w:hAnsiTheme="minorEastAsia" w:eastAsiaTheme="minorEastAsia" w:cstheme="minorEastAsia"/>
          <w:sz w:val="18"/>
          <w:szCs w:val="18"/>
        </w:rPr>
        <w:sectPr>
          <w:pgSz w:w="11906" w:h="16838"/>
          <w:pgMar w:top="1440" w:right="1800" w:bottom="1440" w:left="1800" w:header="851" w:footer="992" w:gutter="0"/>
          <w:pgNumType w:fmt="numberInDash"/>
          <w:cols w:space="425" w:num="1"/>
          <w:docGrid w:type="lines" w:linePitch="312" w:charSpace="0"/>
        </w:sectPr>
      </w:pPr>
    </w:p>
    <w:tbl>
      <w:tblPr>
        <w:tblStyle w:val="6"/>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104"/>
        <w:gridCol w:w="858"/>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37" w:type="dxa"/>
            <w:gridSpan w:val="17"/>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37" w:type="dxa"/>
            <w:gridSpan w:val="3"/>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3"/>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1094"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附属单位</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功能分类</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科目编码</w:t>
            </w:r>
          </w:p>
        </w:tc>
        <w:tc>
          <w:tcPr>
            <w:tcW w:w="1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32,02.21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32,02.21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208</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社会保障和就业支出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1,37.51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1,37.51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行政事业单位离退休</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1,37.51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1,37.51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2080502</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事业单位离退休</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1,37.51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1,37.51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城乡社区支出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26,43.43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26,43.43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21201</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城乡社区管理事务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3,81.46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3,81.46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2120101</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2,64.46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2,64.46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2120109</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住宅建设与房地产市场监管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1,17.00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1,17.00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21208</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国有土地使用权出让收入及对应专项债务收入安排的支出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18,31.25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18,31.25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2120803</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城市建设支出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14,25.00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14,25.00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2120811</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公共租赁住房支出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1,57.05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1,57.05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2120899</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其他国有土地使用权出让收入安排的支出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2,49.20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2,49.20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21213</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城市基础设施配套费及对应专项债务收入安排的支出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4,30.72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4,30.72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2121301</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城市公共设施</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3,32.24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3,32.24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2121302</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城市环境卫生</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98.48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98.48</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215</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资源勘探信息等支出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43.27</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43.27</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21561</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新型墙体材料专项基金及对应专项债务收入安排的支出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43.27</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43.27</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2156199</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其他新型墙体材料专项基金支出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43.27</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43.27</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221</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住房保障支出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22101</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保障性安居工程支出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3,78.00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2210105</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农村危房改造</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3,74.00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3,74.00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2210106</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公共租赁住房</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rtlGutter w:val="0"/>
          <w:docGrid w:type="lines" w:linePitch="317" w:charSpace="0"/>
        </w:sectPr>
      </w:pPr>
    </w:p>
    <w:tbl>
      <w:tblPr>
        <w:tblStyle w:val="6"/>
        <w:tblW w:w="10182" w:type="dxa"/>
        <w:tblInd w:w="-821" w:type="dxa"/>
        <w:tblLayout w:type="fixed"/>
        <w:tblCellMar>
          <w:top w:w="15" w:type="dxa"/>
          <w:left w:w="15" w:type="dxa"/>
          <w:bottom w:w="15" w:type="dxa"/>
          <w:right w:w="15" w:type="dxa"/>
        </w:tblCellMar>
      </w:tblPr>
      <w:tblGrid>
        <w:gridCol w:w="735"/>
        <w:gridCol w:w="175"/>
        <w:gridCol w:w="572"/>
        <w:gridCol w:w="1935"/>
        <w:gridCol w:w="745"/>
        <w:gridCol w:w="163"/>
        <w:gridCol w:w="836"/>
        <w:gridCol w:w="369"/>
        <w:gridCol w:w="630"/>
        <w:gridCol w:w="575"/>
        <w:gridCol w:w="424"/>
        <w:gridCol w:w="781"/>
        <w:gridCol w:w="218"/>
        <w:gridCol w:w="987"/>
        <w:gridCol w:w="1037"/>
      </w:tblGrid>
      <w:tr>
        <w:tblPrEx>
          <w:tblLayout w:type="fixed"/>
          <w:tblCellMar>
            <w:top w:w="15" w:type="dxa"/>
            <w:left w:w="15" w:type="dxa"/>
            <w:bottom w:w="15" w:type="dxa"/>
            <w:right w:w="15" w:type="dxa"/>
          </w:tblCellMar>
        </w:tblPrEx>
        <w:trPr>
          <w:trHeight w:val="375" w:hRule="atLeast"/>
        </w:trPr>
        <w:tc>
          <w:tcPr>
            <w:tcW w:w="10182" w:type="dxa"/>
            <w:gridSpan w:val="15"/>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935" w:type="dxa"/>
            <w:shd w:val="clear" w:color="auto" w:fill="auto"/>
            <w:vAlign w:val="center"/>
          </w:tcPr>
          <w:p>
            <w:pPr>
              <w:rPr>
                <w:rFonts w:ascii="宋体" w:hAnsi="宋体" w:eastAsia="宋体" w:cs="宋体"/>
                <w:color w:val="000000"/>
                <w:sz w:val="16"/>
                <w:szCs w:val="16"/>
              </w:rPr>
            </w:pPr>
          </w:p>
        </w:tc>
        <w:tc>
          <w:tcPr>
            <w:tcW w:w="745"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24"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935" w:type="dxa"/>
            <w:shd w:val="clear" w:color="auto" w:fill="auto"/>
            <w:vAlign w:val="center"/>
          </w:tcPr>
          <w:p>
            <w:pPr>
              <w:rPr>
                <w:rFonts w:ascii="宋体" w:hAnsi="宋体" w:eastAsia="宋体" w:cs="宋体"/>
                <w:color w:val="000000"/>
                <w:sz w:val="16"/>
                <w:szCs w:val="16"/>
              </w:rPr>
            </w:pPr>
          </w:p>
        </w:tc>
        <w:tc>
          <w:tcPr>
            <w:tcW w:w="745"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24"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417"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908"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037"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6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908"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37"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417"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41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合计</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i w:val="0"/>
                <w:color w:val="000000"/>
                <w:kern w:val="0"/>
                <w:sz w:val="16"/>
                <w:szCs w:val="16"/>
                <w:u w:val="none"/>
                <w:lang w:val="en-US" w:eastAsia="zh-CN" w:bidi="ar"/>
              </w:rPr>
              <w:t>32,02.21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5,62.24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26,39.97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1,37.51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1,37.51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1,37.51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1,37.51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2080502</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事业单位离退休</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1,37.51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1,37.51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城乡社区支出</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6"/>
                <w:szCs w:val="16"/>
                <w:u w:val="none"/>
                <w:lang w:val="en-US" w:eastAsia="zh-CN" w:bidi="ar"/>
              </w:rPr>
              <w:t>26,43.43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3,81.46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22,61.97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21201</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城乡社区管理事务</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3,81.46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3,81.46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2120101</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行政运行</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2,64.46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2,64.46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2120109</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住宅建设与房地产市场监管</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1,17.00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1,17.00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21208</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国有土地使用权出让收入及对应专项债务收入安排的支出</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18,31.25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18,31.25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2120803</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城市建设支出</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14,25.00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14,25.00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2120811</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公共租赁住房支出</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1,57.05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1,57.05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2120899</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其他国有土地使用权出让收入安排的支出</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2,49.2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2,49.2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21213</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城市基础设施配套费及对应专项债务收入安排的支出</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4,30.72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4,30.72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2121301</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城市公共设施</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3,32.24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3,32.24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2121302</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城市环境卫生</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98.48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98.48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215</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资源勘探信息等支出</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21561</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新型墙体材料专项基金及对应专项债务收入安排的支出</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2156199</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其他新型墙体材料专项基金支出</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221</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住房保障支出</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3,78.00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3,78.00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22101</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保障性安居工程支出</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3,78.00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3,78.00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2210105</w:t>
            </w:r>
          </w:p>
        </w:tc>
        <w:tc>
          <w:tcPr>
            <w:tcW w:w="2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农村危房改造</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3,78.00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3,78.00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03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10"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2210106</w:t>
            </w:r>
          </w:p>
        </w:tc>
        <w:tc>
          <w:tcPr>
            <w:tcW w:w="2507"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公共租赁住房</w:t>
            </w:r>
          </w:p>
        </w:tc>
        <w:tc>
          <w:tcPr>
            <w:tcW w:w="90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037"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60" w:hRule="atLeast"/>
        </w:trPr>
        <w:tc>
          <w:tcPr>
            <w:tcW w:w="10182" w:type="dxa"/>
            <w:gridSpan w:val="15"/>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rtlGutter w:val="0"/>
          <w:docGrid w:type="lines" w:linePitch="318" w:charSpace="0"/>
        </w:sectPr>
      </w:pPr>
    </w:p>
    <w:tbl>
      <w:tblPr>
        <w:tblStyle w:val="6"/>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514" w:hRule="atLeast"/>
        </w:trPr>
        <w:tc>
          <w:tcPr>
            <w:tcW w:w="10425" w:type="dxa"/>
            <w:gridSpan w:val="14"/>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Layout w:type="fixed"/>
          <w:tblCellMar>
            <w:top w:w="15" w:type="dxa"/>
            <w:left w:w="15" w:type="dxa"/>
            <w:bottom w:w="15" w:type="dxa"/>
            <w:right w:w="15" w:type="dxa"/>
          </w:tblCellMar>
        </w:tblPrEx>
        <w:trPr>
          <w:trHeight w:val="90"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Layout w:type="fixed"/>
          <w:tblCellMar>
            <w:top w:w="15" w:type="dxa"/>
            <w:left w:w="15" w:type="dxa"/>
            <w:bottom w:w="15" w:type="dxa"/>
            <w:right w:w="15" w:type="dxa"/>
          </w:tblCellMar>
        </w:tblPrEx>
        <w:trPr>
          <w:trHeight w:val="549"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8,96.97</w:t>
            </w: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一、一般公共服务支出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23,05.24</w:t>
            </w: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二、外交支出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三、国防支出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四、公共安全支出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五、教育支出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六、科学技术支出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七、文化体育与传媒支出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八、社会保障和就业支出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8"/>
                <w:szCs w:val="18"/>
                <w:u w:val="none"/>
                <w:lang w:val="en-US" w:eastAsia="zh-CN" w:bidi="ar"/>
              </w:rPr>
              <w:t>1,37.51</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8"/>
                <w:szCs w:val="18"/>
                <w:u w:val="none"/>
                <w:lang w:val="en-US" w:eastAsia="zh-CN" w:bidi="ar"/>
              </w:rPr>
              <w:t>1,37.51</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十、节能环保支出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十一、城乡社区支出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26,43.43</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8"/>
                <w:szCs w:val="18"/>
                <w:u w:val="none"/>
                <w:lang w:val="en-US" w:eastAsia="zh-CN" w:bidi="ar"/>
              </w:rPr>
              <w:t>3,81.46</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8"/>
                <w:szCs w:val="18"/>
                <w:u w:val="none"/>
                <w:lang w:val="en-US" w:eastAsia="zh-CN" w:bidi="ar"/>
              </w:rPr>
              <w:t>22,61.97</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十二、农林水支出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十三、交通运输支出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43.27</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43.27</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十五、商业服务业等支出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十六、金融支出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十七、援助其他地区支出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十九、住房保障支出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3,78.00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3,78.00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二十、粮油物资储备支出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50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二十一、其他支出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51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二十二、债务还本支出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52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二十三、债务付息支出</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53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54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25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32,02.21</w:t>
            </w: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本年支出合计</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55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32,02.21</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8,96.97</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23,05.24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年末财政拨款结转和结余</w:t>
            </w: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56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57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208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58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总计</w:t>
            </w:r>
          </w:p>
        </w:tc>
        <w:tc>
          <w:tcPr>
            <w:tcW w:w="405" w:type="dxa"/>
            <w:gridSpan w:val="2"/>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30</w:t>
            </w:r>
          </w:p>
        </w:tc>
        <w:tc>
          <w:tcPr>
            <w:tcW w:w="147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32,02.21</w:t>
            </w:r>
          </w:p>
        </w:tc>
        <w:tc>
          <w:tcPr>
            <w:tcW w:w="2085" w:type="dxa"/>
            <w:gridSpan w:val="3"/>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b/>
                <w:i w:val="0"/>
                <w:color w:val="000000"/>
                <w:kern w:val="0"/>
                <w:sz w:val="16"/>
                <w:szCs w:val="16"/>
                <w:u w:val="none"/>
                <w:lang w:val="en-US" w:eastAsia="zh-CN" w:bidi="ar"/>
              </w:rPr>
              <w:t>总计</w:t>
            </w:r>
          </w:p>
        </w:tc>
        <w:tc>
          <w:tcPr>
            <w:tcW w:w="420" w:type="dxa"/>
            <w:tcBorders>
              <w:top w:val="single" w:color="000000" w:sz="4" w:space="0"/>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60</w:t>
            </w:r>
          </w:p>
        </w:tc>
        <w:tc>
          <w:tcPr>
            <w:tcW w:w="13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32,02.21</w:t>
            </w:r>
          </w:p>
        </w:tc>
        <w:tc>
          <w:tcPr>
            <w:tcW w:w="130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8,96.97</w:t>
            </w:r>
          </w:p>
        </w:tc>
        <w:tc>
          <w:tcPr>
            <w:tcW w:w="130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23,05.24</w:t>
            </w:r>
          </w:p>
        </w:tc>
      </w:tr>
      <w:tr>
        <w:tblPrEx>
          <w:tblLayout w:type="fixed"/>
          <w:tblCellMar>
            <w:top w:w="15" w:type="dxa"/>
            <w:left w:w="15" w:type="dxa"/>
            <w:bottom w:w="15" w:type="dxa"/>
            <w:right w:w="15" w:type="dxa"/>
          </w:tblCellMar>
        </w:tblPrEx>
        <w:trPr>
          <w:trHeight w:val="495" w:hRule="atLeast"/>
        </w:trPr>
        <w:tc>
          <w:tcPr>
            <w:tcW w:w="10425"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6"/>
        <w:tblW w:w="10440" w:type="dxa"/>
        <w:tblInd w:w="-902" w:type="dxa"/>
        <w:tblLayout w:type="fixed"/>
        <w:tblCellMar>
          <w:top w:w="15" w:type="dxa"/>
          <w:left w:w="15" w:type="dxa"/>
          <w:bottom w:w="15" w:type="dxa"/>
          <w:right w:w="15" w:type="dxa"/>
        </w:tblCellMar>
      </w:tblPr>
      <w:tblGrid>
        <w:gridCol w:w="1216"/>
        <w:gridCol w:w="37"/>
        <w:gridCol w:w="638"/>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3"/>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Layout w:type="fixed"/>
          <w:tblCellMar>
            <w:top w:w="15" w:type="dxa"/>
            <w:left w:w="15" w:type="dxa"/>
            <w:bottom w:w="15" w:type="dxa"/>
            <w:right w:w="15" w:type="dxa"/>
          </w:tblCellMar>
        </w:tblPrEx>
        <w:trPr>
          <w:trHeight w:val="270" w:hRule="atLeast"/>
        </w:trPr>
        <w:tc>
          <w:tcPr>
            <w:tcW w:w="1891" w:type="dxa"/>
            <w:gridSpan w:val="3"/>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300" w:hRule="atLeast"/>
        </w:trPr>
        <w:tc>
          <w:tcPr>
            <w:tcW w:w="3691"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合计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szCs w:val="22"/>
              </w:rPr>
            </w:pPr>
            <w:r>
              <w:rPr>
                <w:rFonts w:hint="eastAsia" w:ascii="宋体" w:hAnsi="宋体" w:eastAsia="宋体" w:cs="宋体"/>
                <w:i w:val="0"/>
                <w:color w:val="000000"/>
                <w:kern w:val="0"/>
                <w:sz w:val="22"/>
                <w:szCs w:val="22"/>
                <w:u w:val="none"/>
                <w:lang w:val="en-US" w:eastAsia="zh-CN" w:bidi="ar"/>
              </w:rPr>
              <w:t>8,96.97</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szCs w:val="22"/>
              </w:rPr>
            </w:pPr>
            <w:r>
              <w:rPr>
                <w:rFonts w:hint="eastAsia" w:ascii="宋体" w:hAnsi="宋体" w:eastAsia="宋体" w:cs="宋体"/>
                <w:i w:val="0"/>
                <w:color w:val="000000"/>
                <w:kern w:val="0"/>
                <w:sz w:val="22"/>
                <w:szCs w:val="22"/>
                <w:u w:val="none"/>
                <w:lang w:val="en-US" w:eastAsia="zh-CN" w:bidi="ar"/>
              </w:rPr>
              <w:t>5,18.97</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3,78.00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208</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社会保障和就业支出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szCs w:val="22"/>
              </w:rPr>
            </w:pPr>
            <w:r>
              <w:rPr>
                <w:rFonts w:hint="eastAsia" w:ascii="宋体" w:hAnsi="宋体" w:eastAsia="宋体" w:cs="宋体"/>
                <w:i w:val="0"/>
                <w:color w:val="000000"/>
                <w:kern w:val="0"/>
                <w:sz w:val="22"/>
                <w:szCs w:val="22"/>
                <w:u w:val="none"/>
                <w:lang w:val="en-US" w:eastAsia="zh-CN" w:bidi="ar"/>
              </w:rPr>
              <w:t>1,37.51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szCs w:val="22"/>
              </w:rPr>
            </w:pPr>
            <w:r>
              <w:rPr>
                <w:rFonts w:hint="eastAsia" w:ascii="宋体" w:hAnsi="宋体" w:eastAsia="宋体" w:cs="宋体"/>
                <w:i w:val="0"/>
                <w:color w:val="000000"/>
                <w:kern w:val="0"/>
                <w:sz w:val="22"/>
                <w:szCs w:val="22"/>
                <w:u w:val="none"/>
                <w:lang w:val="en-US" w:eastAsia="zh-CN" w:bidi="ar"/>
              </w:rPr>
              <w:t>1,37.51</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20805</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行政事业单位离退休</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color w:val="000000"/>
                <w:kern w:val="0"/>
                <w:sz w:val="22"/>
                <w:szCs w:val="22"/>
                <w:u w:val="none"/>
                <w:lang w:val="en-US" w:eastAsia="zh-CN" w:bidi="ar"/>
              </w:rPr>
              <w:t>1,37.51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color w:val="000000"/>
                <w:kern w:val="0"/>
                <w:sz w:val="22"/>
                <w:szCs w:val="22"/>
                <w:u w:val="none"/>
                <w:lang w:val="en-US" w:eastAsia="zh-CN" w:bidi="ar"/>
              </w:rPr>
              <w:t>1,37.51</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2080502</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color w:val="000000"/>
                <w:kern w:val="0"/>
                <w:sz w:val="22"/>
                <w:szCs w:val="22"/>
                <w:u w:val="none"/>
                <w:lang w:val="en-US" w:eastAsia="zh-CN" w:bidi="ar"/>
              </w:rPr>
              <w:t>1,37.51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color w:val="000000"/>
                <w:kern w:val="0"/>
                <w:sz w:val="22"/>
                <w:szCs w:val="22"/>
                <w:u w:val="none"/>
                <w:lang w:val="en-US" w:eastAsia="zh-CN" w:bidi="ar"/>
              </w:rPr>
              <w:t>1,37.51</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212</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城乡社区支出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color w:val="000000"/>
                <w:kern w:val="0"/>
                <w:sz w:val="22"/>
                <w:szCs w:val="22"/>
                <w:u w:val="none"/>
                <w:lang w:val="en-US" w:eastAsia="zh-CN" w:bidi="ar"/>
              </w:rPr>
              <w:t>3,81.46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color w:val="000000"/>
                <w:kern w:val="0"/>
                <w:sz w:val="22"/>
                <w:szCs w:val="22"/>
                <w:u w:val="none"/>
                <w:lang w:val="en-US" w:eastAsia="zh-CN" w:bidi="ar"/>
              </w:rPr>
              <w:t>3,81.46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21201</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城乡社区管理事务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color w:val="000000"/>
                <w:kern w:val="0"/>
                <w:sz w:val="22"/>
                <w:szCs w:val="22"/>
                <w:u w:val="none"/>
                <w:lang w:val="en-US" w:eastAsia="zh-CN" w:bidi="ar"/>
              </w:rPr>
              <w:t>3,81.46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szCs w:val="22"/>
              </w:rPr>
            </w:pPr>
            <w:r>
              <w:rPr>
                <w:rFonts w:hint="eastAsia" w:ascii="宋体" w:hAnsi="宋体" w:eastAsia="宋体" w:cs="宋体"/>
                <w:i w:val="0"/>
                <w:color w:val="000000"/>
                <w:kern w:val="0"/>
                <w:sz w:val="22"/>
                <w:szCs w:val="22"/>
                <w:u w:val="none"/>
                <w:lang w:val="en-US" w:eastAsia="zh-CN" w:bidi="ar"/>
              </w:rPr>
              <w:t>3,81.46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2120101</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2,64.46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2,64.46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2120109</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住宅建设与房地产市场监管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1,17.00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1,17.00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221</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住房保障支出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3,78.00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3,78.00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22101</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保障性安居工程支出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3,78.00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3,78.00</w:t>
            </w:r>
          </w:p>
        </w:tc>
      </w:tr>
      <w:tr>
        <w:tblPrEx>
          <w:tblLayout w:type="fixed"/>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2210105</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农村危房改造</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3,74.00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3,74.00</w:t>
            </w:r>
          </w:p>
        </w:tc>
      </w:tr>
      <w:tr>
        <w:tblPrEx>
          <w:tblLayout w:type="fixed"/>
          <w:tblCellMar>
            <w:top w:w="15" w:type="dxa"/>
            <w:left w:w="15" w:type="dxa"/>
            <w:bottom w:w="15" w:type="dxa"/>
            <w:right w:w="15" w:type="dxa"/>
          </w:tblCellMar>
        </w:tblPrEx>
        <w:trPr>
          <w:trHeight w:val="300" w:hRule="atLeast"/>
        </w:trPr>
        <w:tc>
          <w:tcPr>
            <w:tcW w:w="125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2210106</w:t>
            </w:r>
          </w:p>
        </w:tc>
        <w:tc>
          <w:tcPr>
            <w:tcW w:w="2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公共租赁住房</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0.00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600" w:hRule="atLeast"/>
        </w:trPr>
        <w:tc>
          <w:tcPr>
            <w:tcW w:w="10440"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6"/>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Layout w:type="fixed"/>
          <w:tblCellMar>
            <w:top w:w="15" w:type="dxa"/>
            <w:left w:w="15" w:type="dxa"/>
            <w:bottom w:w="15" w:type="dxa"/>
            <w:right w:w="15" w:type="dxa"/>
          </w:tblCellMar>
        </w:tblPrEx>
        <w:trPr>
          <w:trHeight w:val="270"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2,85.21</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96.25</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2,01.75</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31.00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83.46</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2.10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2.81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0.66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7.01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2.83</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0.82</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1,37.51</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17.54</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1,19.97</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8.58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tabs>
                <w:tab w:val="center" w:pos="840"/>
                <w:tab w:val="right" w:pos="1800"/>
              </w:tabs>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ab/>
            </w:r>
            <w:r>
              <w:rPr>
                <w:rFonts w:hint="eastAsia" w:ascii="宋体" w:hAnsi="宋体" w:eastAsia="宋体" w:cs="宋体"/>
                <w:i w:val="0"/>
                <w:color w:val="000000"/>
                <w:kern w:val="0"/>
                <w:sz w:val="16"/>
                <w:szCs w:val="16"/>
                <w:u w:val="none"/>
                <w:lang w:val="en-US" w:eastAsia="zh-CN" w:bidi="ar"/>
              </w:rPr>
              <w:tab/>
            </w: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5.16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5.46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15.25</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14.57</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477" w:hRule="atLeast"/>
        </w:trPr>
        <w:tc>
          <w:tcPr>
            <w:tcW w:w="8775" w:type="dxa"/>
            <w:gridSpan w:val="8"/>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c>
          <w:tcPr>
            <w:tcW w:w="1710" w:type="dxa"/>
            <w:shd w:val="clear" w:color="auto" w:fill="auto"/>
            <w:vAlign w:val="center"/>
          </w:tcPr>
          <w:p>
            <w:pPr>
              <w:keepNext w:val="0"/>
              <w:keepLines w:val="0"/>
              <w:widowControl/>
              <w:suppressLineNumbers w:val="0"/>
              <w:jc w:val="right"/>
              <w:textAlignment w:val="center"/>
              <w:rPr>
                <w:sz w:val="16"/>
                <w:szCs w:val="16"/>
              </w:rPr>
            </w:pP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6"/>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485" w:type="dxa"/>
            <w:gridSpan w:val="22"/>
            <w:shd w:val="clear" w:color="auto" w:fill="auto"/>
            <w:vAlign w:val="bottom"/>
          </w:tcPr>
          <w:p>
            <w:pPr>
              <w:keepNext w:val="0"/>
              <w:keepLines w:val="0"/>
              <w:widowControl/>
              <w:suppressLineNumbers w:val="0"/>
              <w:jc w:val="center"/>
              <w:textAlignment w:val="bottom"/>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87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0</w:t>
            </w:r>
          </w:p>
        </w:tc>
        <w:tc>
          <w:tcPr>
            <w:tcW w:w="92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70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8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10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9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0</w:t>
            </w:r>
          </w:p>
        </w:tc>
        <w:tc>
          <w:tcPr>
            <w:tcW w:w="923"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8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85" w:type="dxa"/>
            <w:gridSpan w:val="2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注：本表反映部门本年度“三公”经费支出预决算情况。其中，2016年度预算数为“三公”经费年初预算数，决算数是包括当年一般公共预算财政拨款和以前年度结转资金安排的实际支出。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6"/>
        <w:tblW w:w="10500" w:type="dxa"/>
        <w:tblInd w:w="-902" w:type="dxa"/>
        <w:tblLayout w:type="fixed"/>
        <w:tblCellMar>
          <w:top w:w="15" w:type="dxa"/>
          <w:left w:w="15" w:type="dxa"/>
          <w:bottom w:w="15" w:type="dxa"/>
          <w:right w:w="15" w:type="dxa"/>
        </w:tblCellMar>
      </w:tblPr>
      <w:tblGrid>
        <w:gridCol w:w="705"/>
        <w:gridCol w:w="178"/>
        <w:gridCol w:w="708"/>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3"/>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3"/>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Layout w:type="fixed"/>
          <w:tblCellMar>
            <w:top w:w="15" w:type="dxa"/>
            <w:left w:w="15" w:type="dxa"/>
            <w:bottom w:w="15" w:type="dxa"/>
            <w:right w:w="15" w:type="dxa"/>
          </w:tblCellMar>
        </w:tblPrEx>
        <w:trPr>
          <w:trHeight w:val="270" w:hRule="atLeast"/>
        </w:trPr>
        <w:tc>
          <w:tcPr>
            <w:tcW w:w="1591" w:type="dxa"/>
            <w:gridSpan w:val="3"/>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PrEx>
        <w:trPr>
          <w:trHeight w:val="285" w:hRule="atLeast"/>
        </w:trPr>
        <w:tc>
          <w:tcPr>
            <w:tcW w:w="3027"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4"/>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合计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23,05.24</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23,05.24</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43.27</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22,61.97</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88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212</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城乡社区支出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22,61.97</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22,61.97</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22,61.97</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420" w:hRule="atLeast"/>
        </w:trPr>
        <w:tc>
          <w:tcPr>
            <w:tcW w:w="88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21208</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国有土地使用权出让收入及对应专项债务收入安排的支出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18,31.25</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18,31.25</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18,31.25</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88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2120803</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城市建设支出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14,25.00</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14,25.00</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14,25.00</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88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2120811</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公共租赁住房支出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1,57.05</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1,57.05</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1,57.05</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88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2120899</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其他国有土地使用权出让收入安排的支出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2,49.20</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2,49.20</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2,49.2</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420" w:hRule="atLeast"/>
        </w:trPr>
        <w:tc>
          <w:tcPr>
            <w:tcW w:w="88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21213</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城市基础设施配套费及对应专项债务收入安排的支出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4,30.72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4,30.72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4,30.72</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88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2121301</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 xml:space="preserve">  城市公共设施</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3,32.24</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3,32.24</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3,32.24</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88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2121302</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城市环境卫生</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98.48</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98.48</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98.48</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88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215</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资源勘探信息等支出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88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21561</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新型墙体材料专项基金及对应专项债务收入安排的支出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bookmarkStart w:id="0" w:name="_GoBack"/>
            <w:bookmarkEnd w:id="0"/>
            <w:r>
              <w:rPr>
                <w:rFonts w:hint="eastAsia" w:ascii="宋体" w:hAnsi="宋体" w:eastAsia="宋体" w:cs="宋体"/>
                <w:i w:val="0"/>
                <w:color w:val="000000"/>
                <w:kern w:val="0"/>
                <w:sz w:val="16"/>
                <w:szCs w:val="16"/>
                <w:u w:val="none"/>
                <w:lang w:val="en-US" w:eastAsia="zh-CN" w:bidi="ar"/>
              </w:rPr>
              <w:t>43.27</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88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2156199</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其他新型墙体材料专项基金支出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43.27</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10500" w:type="dxa"/>
            <w:gridSpan w:val="13"/>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3"/>
            <w:shd w:val="clear" w:color="auto" w:fill="auto"/>
            <w:vAlign w:val="center"/>
          </w:tcPr>
          <w:p>
            <w:pPr>
              <w:widowControl/>
              <w:jc w:val="left"/>
              <w:textAlignment w:val="center"/>
              <w:rPr>
                <w:rFonts w:ascii="宋体" w:hAnsi="宋体" w:eastAsia="宋体" w:cs="宋体"/>
                <w:b/>
                <w:color w:val="FF0000"/>
                <w:sz w:val="20"/>
                <w:szCs w:val="20"/>
              </w:rPr>
            </w:pP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pPr>
      <w:r>
        <w:rPr>
          <w:rFonts w:hint="eastAsia" w:ascii="隶书" w:hAnsi="隶书" w:eastAsia="隶书" w:cs="隶书"/>
          <w:sz w:val="48"/>
          <w:szCs w:val="48"/>
          <w:lang w:eastAsia="zh-CN"/>
        </w:rPr>
        <w:t>住建局</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2016年度部门决算情况说明</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val="en-US" w:eastAsia="zh-CN"/>
        </w:rPr>
        <w:t>住建局</w:t>
      </w:r>
      <w:r>
        <w:rPr>
          <w:rFonts w:hint="eastAsia" w:ascii="仿宋_GB2312" w:hAnsi="宋体" w:eastAsia="仿宋_GB2312" w:cs="Courier New"/>
          <w:sz w:val="32"/>
          <w:szCs w:val="32"/>
        </w:rPr>
        <w:t>2016年度收入总计</w:t>
      </w:r>
      <w:r>
        <w:rPr>
          <w:rFonts w:ascii="仿宋_GB2312" w:eastAsia="仿宋_GB2312" w:cs="仿宋_GB2312"/>
          <w:sz w:val="32"/>
          <w:szCs w:val="32"/>
        </w:rPr>
        <w:t>3202.21</w:t>
      </w:r>
      <w:r>
        <w:rPr>
          <w:rFonts w:hint="eastAsia" w:ascii="仿宋_GB2312" w:hAnsi="宋体" w:eastAsia="仿宋_GB2312" w:cs="Courier New"/>
          <w:sz w:val="32"/>
          <w:szCs w:val="32"/>
        </w:rPr>
        <w:t>万元，支出总计</w:t>
      </w:r>
      <w:r>
        <w:rPr>
          <w:rFonts w:ascii="仿宋_GB2312" w:eastAsia="仿宋_GB2312" w:cs="仿宋_GB2312"/>
          <w:sz w:val="32"/>
          <w:szCs w:val="32"/>
        </w:rPr>
        <w:t>3202.21</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与</w:t>
      </w:r>
      <w:r>
        <w:rPr>
          <w:rFonts w:ascii="仿宋_GB2312" w:hAnsi="宋体" w:eastAsia="仿宋_GB2312" w:cs="Courier New"/>
          <w:sz w:val="32"/>
          <w:szCs w:val="32"/>
        </w:rPr>
        <w:t>2015</w:t>
      </w:r>
      <w:r>
        <w:rPr>
          <w:rFonts w:hint="eastAsia" w:ascii="仿宋_GB2312" w:hAnsi="宋体" w:eastAsia="仿宋_GB2312" w:cs="Courier New"/>
          <w:sz w:val="32"/>
          <w:szCs w:val="32"/>
        </w:rPr>
        <w:t>年相比，收、支总计各减少</w:t>
      </w:r>
      <w:r>
        <w:rPr>
          <w:rFonts w:hint="eastAsia" w:ascii="仿宋_GB2312" w:hAnsi="宋体" w:eastAsia="仿宋_GB2312" w:cs="Courier New"/>
          <w:sz w:val="32"/>
          <w:szCs w:val="32"/>
          <w:lang w:val="en-US" w:eastAsia="zh-CN"/>
        </w:rPr>
        <w:t>9309.99</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74.4</w:t>
      </w:r>
      <w:r>
        <w:rPr>
          <w:rFonts w:ascii="仿宋_GB2312" w:hAnsi="宋体" w:eastAsia="仿宋_GB2312" w:cs="Courier New"/>
          <w:sz w:val="32"/>
          <w:szCs w:val="32"/>
        </w:rPr>
        <w:t>%</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主要原因是：部分职能划转至城市管理局，支出减少。</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lang w:val="en-US" w:eastAsia="zh-CN"/>
        </w:rPr>
        <w:t>住建局</w:t>
      </w: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w:t>
      </w:r>
      <w:r>
        <w:rPr>
          <w:rFonts w:ascii="仿宋_GB2312" w:eastAsia="仿宋_GB2312" w:cs="仿宋_GB2312"/>
          <w:sz w:val="32"/>
          <w:szCs w:val="32"/>
        </w:rPr>
        <w:t>3202.21</w:t>
      </w:r>
      <w:r>
        <w:rPr>
          <w:rFonts w:hint="eastAsia" w:ascii="仿宋_GB2312" w:hAnsi="Times New Roman" w:eastAsia="仿宋_GB2312"/>
          <w:sz w:val="32"/>
          <w:szCs w:val="32"/>
        </w:rPr>
        <w:t>万元，其中：财政拨款收入</w:t>
      </w:r>
      <w:r>
        <w:rPr>
          <w:rFonts w:ascii="仿宋_GB2312" w:eastAsia="仿宋_GB2312" w:cs="仿宋_GB2312"/>
          <w:sz w:val="32"/>
          <w:szCs w:val="32"/>
        </w:rPr>
        <w:t>3202.21</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ascii="仿宋_GB2312" w:hAnsi="Times New Roman" w:eastAsia="仿宋_GB2312"/>
          <w:sz w:val="32"/>
          <w:szCs w:val="32"/>
        </w:rPr>
        <w:t>%</w:t>
      </w:r>
      <w:r>
        <w:rPr>
          <w:rFonts w:hint="eastAsia" w:ascii="仿宋_GB2312" w:hAnsi="Times New Roman" w:eastAsia="仿宋_GB2312"/>
          <w:sz w:val="32"/>
          <w:szCs w:val="32"/>
          <w:lang w:eastAsia="zh-CN"/>
        </w:rPr>
        <w:t>；</w:t>
      </w:r>
      <w:r>
        <w:rPr>
          <w:rFonts w:hint="eastAsia" w:ascii="仿宋_GB2312" w:hAnsi="Times New Roman" w:eastAsia="仿宋_GB2312" w:cs="仿宋_GB2312"/>
          <w:sz w:val="32"/>
          <w:szCs w:val="32"/>
        </w:rPr>
        <w:t>事业收入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；经营收入万元，占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；其他收入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val="en-US" w:eastAsia="zh-CN"/>
        </w:rPr>
        <w:t>住建局</w:t>
      </w:r>
      <w:r>
        <w:rPr>
          <w:rFonts w:hint="eastAsia" w:ascii="仿宋_GB2312" w:hAnsi="宋体" w:eastAsia="仿宋_GB2312" w:cs="Courier New"/>
          <w:sz w:val="32"/>
          <w:szCs w:val="32"/>
        </w:rPr>
        <w:t>2016年度支出合计</w:t>
      </w:r>
      <w:r>
        <w:rPr>
          <w:rFonts w:ascii="仿宋_GB2312" w:eastAsia="仿宋_GB2312" w:cs="仿宋_GB2312"/>
          <w:sz w:val="32"/>
          <w:szCs w:val="32"/>
        </w:rPr>
        <w:t>3202.21</w:t>
      </w:r>
      <w:r>
        <w:rPr>
          <w:rFonts w:hint="eastAsia" w:ascii="仿宋_GB2312" w:hAnsi="宋体" w:eastAsia="仿宋_GB2312" w:cs="Courier New"/>
          <w:sz w:val="32"/>
          <w:szCs w:val="32"/>
        </w:rPr>
        <w:t>万元，其中：社会保障和就业支出137</w:t>
      </w:r>
      <w:r>
        <w:rPr>
          <w:rFonts w:hint="eastAsia" w:ascii="仿宋_GB2312" w:hAnsi="宋体" w:eastAsia="仿宋_GB2312" w:cs="Courier New"/>
          <w:sz w:val="32"/>
          <w:szCs w:val="32"/>
          <w:lang w:val="en-US" w:eastAsia="zh-CN"/>
        </w:rPr>
        <w:t>.51</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4.3</w:t>
      </w:r>
      <w:r>
        <w:rPr>
          <w:rFonts w:ascii="仿宋_GB2312" w:hAnsi="宋体" w:eastAsia="仿宋_GB2312" w:cs="Courier New"/>
          <w:sz w:val="32"/>
          <w:szCs w:val="32"/>
        </w:rPr>
        <w:t>%</w:t>
      </w:r>
      <w:r>
        <w:rPr>
          <w:rFonts w:hint="eastAsia" w:ascii="仿宋_GB2312" w:hAnsi="宋体" w:eastAsia="仿宋_GB2312" w:cs="Courier New"/>
          <w:sz w:val="32"/>
          <w:szCs w:val="32"/>
        </w:rPr>
        <w:t>；城乡社区支出</w:t>
      </w:r>
      <w:r>
        <w:rPr>
          <w:rFonts w:hint="eastAsia" w:ascii="仿宋_GB2312" w:hAnsi="宋体" w:eastAsia="仿宋_GB2312" w:cs="Courier New"/>
          <w:sz w:val="32"/>
          <w:szCs w:val="32"/>
          <w:lang w:val="en-US" w:eastAsia="zh-CN"/>
        </w:rPr>
        <w:t>2643.43</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82.5</w:t>
      </w:r>
      <w:r>
        <w:rPr>
          <w:rFonts w:hint="eastAsia" w:ascii="仿宋_GB2312" w:hAnsi="宋体" w:eastAsia="仿宋_GB2312" w:cs="Courier New"/>
          <w:sz w:val="32"/>
          <w:szCs w:val="32"/>
        </w:rPr>
        <w:t>%；资源勘探信息等支出</w:t>
      </w:r>
      <w:r>
        <w:rPr>
          <w:rFonts w:hint="eastAsia" w:ascii="仿宋_GB2312" w:hAnsi="宋体" w:eastAsia="仿宋_GB2312" w:cs="Courier New"/>
          <w:sz w:val="32"/>
          <w:szCs w:val="32"/>
          <w:lang w:val="en-US" w:eastAsia="zh-CN"/>
        </w:rPr>
        <w:t>43.27</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1.4</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；住房保障支出</w:t>
      </w:r>
      <w:r>
        <w:rPr>
          <w:rFonts w:hint="eastAsia" w:ascii="仿宋_GB2312" w:hAnsi="宋体" w:eastAsia="仿宋_GB2312" w:cs="Courier New"/>
          <w:sz w:val="32"/>
          <w:szCs w:val="32"/>
          <w:lang w:val="en-US" w:eastAsia="zh-CN"/>
        </w:rPr>
        <w:t>378万元，占11.8%；</w:t>
      </w:r>
      <w:r>
        <w:rPr>
          <w:rFonts w:hint="eastAsia" w:ascii="仿宋_GB2312" w:hAnsi="宋体" w:eastAsia="仿宋_GB2312" w:cs="仿宋_GB2312"/>
          <w:sz w:val="32"/>
          <w:szCs w:val="32"/>
        </w:rPr>
        <w:t>经营支出</w:t>
      </w:r>
      <w:r>
        <w:rPr>
          <w:rFonts w:ascii="仿宋_GB2312" w:hAnsi="宋体" w:eastAsia="仿宋_GB2312" w:cs="仿宋_GB2312"/>
          <w:sz w:val="32"/>
          <w:szCs w:val="32"/>
        </w:rPr>
        <w:t>0</w:t>
      </w:r>
      <w:r>
        <w:rPr>
          <w:rFonts w:hint="eastAsia" w:ascii="仿宋_GB2312" w:hAnsi="宋体" w:eastAsia="仿宋_GB2312" w:cs="仿宋_GB2312"/>
          <w:sz w:val="32"/>
          <w:szCs w:val="32"/>
        </w:rPr>
        <w:t>万元，占</w:t>
      </w:r>
      <w:r>
        <w:rPr>
          <w:rFonts w:ascii="仿宋_GB2312" w:hAnsi="宋体" w:eastAsia="仿宋_GB2312" w:cs="仿宋_GB2312"/>
          <w:sz w:val="32"/>
          <w:szCs w:val="32"/>
        </w:rPr>
        <w:t>0%</w:t>
      </w:r>
      <w:r>
        <w:rPr>
          <w:rFonts w:hint="eastAsia" w:ascii="仿宋_GB2312" w:hAnsi="宋体" w:eastAsia="仿宋_GB2312" w:cs="仿宋_GB2312"/>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val="en-US" w:eastAsia="zh-CN"/>
        </w:rPr>
        <w:t>住建局</w:t>
      </w:r>
      <w:r>
        <w:rPr>
          <w:rFonts w:hint="eastAsia" w:ascii="仿宋_GB2312" w:hAnsi="宋体" w:eastAsia="仿宋_GB2312" w:cs="Courier New"/>
          <w:sz w:val="32"/>
          <w:szCs w:val="32"/>
        </w:rPr>
        <w:t>2016年财政拨款收支总决算</w:t>
      </w:r>
      <w:r>
        <w:rPr>
          <w:rFonts w:hint="eastAsia" w:ascii="仿宋_GB2312" w:hAnsi="宋体" w:eastAsia="仿宋_GB2312" w:cs="Courier New"/>
          <w:sz w:val="32"/>
          <w:szCs w:val="32"/>
          <w:lang w:val="en-US" w:eastAsia="zh-CN"/>
        </w:rPr>
        <w:t>3202.21</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年相比，财政拨款收、支总计各减少</w:t>
      </w:r>
      <w:r>
        <w:rPr>
          <w:rFonts w:hint="eastAsia" w:ascii="仿宋_GB2312" w:hAnsi="宋体" w:eastAsia="仿宋_GB2312" w:cs="Courier New"/>
          <w:sz w:val="32"/>
          <w:szCs w:val="32"/>
          <w:lang w:val="en-US" w:eastAsia="zh-CN"/>
        </w:rPr>
        <w:t>9309.99</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74.4</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val="en-US" w:eastAsia="zh-CN"/>
        </w:rPr>
        <w:t>住建局</w:t>
      </w:r>
      <w:r>
        <w:rPr>
          <w:rFonts w:hint="eastAsia" w:ascii="仿宋_GB2312" w:hAnsi="宋体" w:eastAsia="仿宋_GB2312" w:cs="Courier New"/>
          <w:sz w:val="32"/>
          <w:szCs w:val="32"/>
        </w:rPr>
        <w:t>2016年一般公共预算财政拨款支出</w:t>
      </w:r>
      <w:r>
        <w:rPr>
          <w:rFonts w:hint="eastAsia" w:ascii="仿宋_GB2312" w:hAnsi="宋体" w:eastAsia="仿宋_GB2312" w:cs="Courier New"/>
          <w:sz w:val="32"/>
          <w:szCs w:val="32"/>
          <w:lang w:val="en-US" w:eastAsia="zh-CN"/>
        </w:rPr>
        <w:t>896.97</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28</w:t>
      </w:r>
      <w:r>
        <w:rPr>
          <w:rFonts w:hint="eastAsia" w:ascii="仿宋_GB2312" w:hAnsi="宋体" w:eastAsia="仿宋_GB2312" w:cs="Courier New"/>
          <w:sz w:val="32"/>
          <w:szCs w:val="32"/>
        </w:rPr>
        <w:t>%。与</w:t>
      </w:r>
      <w:r>
        <w:rPr>
          <w:rFonts w:ascii="仿宋_GB2312" w:hAnsi="宋体" w:eastAsia="仿宋_GB2312" w:cs="Courier New"/>
          <w:sz w:val="32"/>
          <w:szCs w:val="32"/>
        </w:rPr>
        <w:t>2015</w:t>
      </w:r>
      <w:r>
        <w:rPr>
          <w:rFonts w:hint="eastAsia" w:ascii="仿宋_GB2312" w:hAnsi="宋体" w:eastAsia="仿宋_GB2312" w:cs="Courier New"/>
          <w:sz w:val="32"/>
          <w:szCs w:val="32"/>
        </w:rPr>
        <w:t>年相比，一般公共预算财政拨款支出减少</w:t>
      </w:r>
      <w:r>
        <w:rPr>
          <w:rFonts w:hint="eastAsia" w:ascii="仿宋_GB2312" w:hAnsi="宋体" w:eastAsia="仿宋_GB2312" w:cs="Courier New"/>
          <w:sz w:val="32"/>
          <w:szCs w:val="32"/>
          <w:lang w:val="en-US" w:eastAsia="zh-CN"/>
        </w:rPr>
        <w:t>9620.26</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91.5</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val="en-US" w:eastAsia="zh-CN"/>
        </w:rPr>
        <w:t>住建局</w:t>
      </w:r>
      <w:r>
        <w:rPr>
          <w:rFonts w:hint="eastAsia" w:ascii="仿宋_GB2312" w:hAnsi="宋体" w:eastAsia="仿宋_GB2312" w:cs="Courier New"/>
          <w:sz w:val="32"/>
          <w:szCs w:val="32"/>
        </w:rPr>
        <w:t>2016年度一般公共预算财政拨款支出</w:t>
      </w:r>
      <w:r>
        <w:rPr>
          <w:rFonts w:hint="eastAsia" w:ascii="仿宋_GB2312" w:hAnsi="宋体" w:eastAsia="仿宋_GB2312" w:cs="Courier New"/>
          <w:sz w:val="32"/>
          <w:szCs w:val="32"/>
          <w:lang w:val="en-US" w:eastAsia="zh-CN"/>
        </w:rPr>
        <w:t>896.97</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lang w:eastAsia="zh-CN"/>
        </w:rPr>
        <w:t>社会保障和就业支出</w:t>
      </w:r>
      <w:r>
        <w:rPr>
          <w:rFonts w:hint="eastAsia" w:ascii="仿宋_GB2312" w:hAnsi="宋体" w:eastAsia="仿宋_GB2312" w:cs="Courier New"/>
          <w:b/>
          <w:bCs/>
          <w:sz w:val="32"/>
          <w:szCs w:val="32"/>
        </w:rPr>
        <w:t>（类）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137.51</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15.3</w:t>
      </w:r>
      <w:r>
        <w:rPr>
          <w:rFonts w:hint="eastAsia" w:ascii="仿宋_GB2312" w:hAnsi="宋体" w:eastAsia="仿宋_GB2312" w:cs="Courier New"/>
          <w:sz w:val="32"/>
          <w:szCs w:val="32"/>
        </w:rPr>
        <w:t>%；</w:t>
      </w:r>
      <w:r>
        <w:rPr>
          <w:rFonts w:hint="eastAsia" w:ascii="仿宋_GB2312" w:hAnsi="宋体" w:eastAsia="仿宋_GB2312" w:cs="Courier New"/>
          <w:b/>
          <w:bCs/>
          <w:sz w:val="32"/>
          <w:szCs w:val="32"/>
          <w:lang w:eastAsia="zh-CN"/>
        </w:rPr>
        <w:t>城乡社区支出</w:t>
      </w:r>
      <w:r>
        <w:rPr>
          <w:rFonts w:hint="eastAsia" w:ascii="仿宋_GB2312" w:hAnsi="宋体" w:eastAsia="仿宋_GB2312" w:cs="Courier New"/>
          <w:b/>
          <w:bCs/>
          <w:sz w:val="32"/>
          <w:szCs w:val="32"/>
        </w:rPr>
        <w:t>（类）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381.46</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42.5</w:t>
      </w:r>
      <w:r>
        <w:rPr>
          <w:rFonts w:hint="eastAsia" w:ascii="仿宋_GB2312" w:hAnsi="宋体" w:eastAsia="仿宋_GB2312" w:cs="Courier New"/>
          <w:sz w:val="32"/>
          <w:szCs w:val="32"/>
        </w:rPr>
        <w:t>%；</w:t>
      </w:r>
      <w:r>
        <w:rPr>
          <w:rFonts w:hint="eastAsia" w:ascii="仿宋_GB2312" w:hAnsi="宋体" w:eastAsia="仿宋_GB2312" w:cs="Courier New"/>
          <w:b/>
          <w:bCs/>
          <w:sz w:val="32"/>
          <w:szCs w:val="32"/>
          <w:lang w:eastAsia="zh-CN"/>
        </w:rPr>
        <w:t>住房保障支出（类）</w:t>
      </w:r>
      <w:r>
        <w:rPr>
          <w:rFonts w:hint="eastAsia" w:ascii="仿宋_GB2312" w:hAnsi="宋体" w:eastAsia="仿宋_GB2312" w:cs="Courier New"/>
          <w:sz w:val="32"/>
          <w:szCs w:val="32"/>
          <w:lang w:eastAsia="zh-CN"/>
        </w:rPr>
        <w:t>支出</w:t>
      </w:r>
      <w:r>
        <w:rPr>
          <w:rFonts w:hint="eastAsia" w:ascii="仿宋_GB2312" w:hAnsi="宋体" w:eastAsia="仿宋_GB2312" w:cs="Courier New"/>
          <w:sz w:val="32"/>
          <w:szCs w:val="32"/>
          <w:lang w:val="en-US" w:eastAsia="zh-CN"/>
        </w:rPr>
        <w:t>378万元，占42.2%</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hint="eastAsia" w:ascii="仿宋_GB2312" w:hAnsi="宋体" w:eastAsia="仿宋_GB2312" w:cs="Courier New"/>
          <w:sz w:val="32"/>
          <w:szCs w:val="32"/>
          <w:lang w:eastAsia="zh-CN"/>
        </w:rPr>
      </w:pPr>
      <w:r>
        <w:rPr>
          <w:rFonts w:hint="eastAsia" w:ascii="仿宋_GB2312" w:hAnsi="宋体" w:eastAsia="仿宋_GB2312" w:cs="Courier New"/>
          <w:sz w:val="32"/>
          <w:szCs w:val="32"/>
          <w:lang w:val="en-US" w:eastAsia="zh-CN"/>
        </w:rPr>
        <w:t>住建局</w:t>
      </w:r>
      <w:r>
        <w:rPr>
          <w:rFonts w:hint="eastAsia" w:ascii="仿宋_GB2312" w:hAnsi="宋体" w:eastAsia="仿宋_GB2312" w:cs="Courier New"/>
          <w:sz w:val="32"/>
          <w:szCs w:val="32"/>
        </w:rPr>
        <w:t>2016年度一般公共预算财政拨款支出年初预算为</w:t>
      </w:r>
      <w:r>
        <w:rPr>
          <w:rFonts w:hint="eastAsia" w:ascii="仿宋_GB2312" w:hAnsi="宋体" w:eastAsia="仿宋_GB2312" w:cs="Courier New"/>
          <w:sz w:val="32"/>
          <w:szCs w:val="32"/>
          <w:lang w:val="en-US" w:eastAsia="zh-CN"/>
        </w:rPr>
        <w:t>4453</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896.97</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%。决算数</w:t>
      </w:r>
      <w:r>
        <w:rPr>
          <w:rFonts w:hint="eastAsia" w:ascii="仿宋_GB2312" w:hAnsi="宋体" w:eastAsia="仿宋_GB2312" w:cs="Courier New"/>
          <w:sz w:val="32"/>
          <w:szCs w:val="32"/>
          <w:lang w:eastAsia="zh-CN"/>
        </w:rPr>
        <w:t>小</w:t>
      </w:r>
      <w:r>
        <w:rPr>
          <w:rFonts w:hint="eastAsia" w:ascii="仿宋_GB2312" w:hAnsi="宋体" w:eastAsia="仿宋_GB2312" w:cs="Courier New"/>
          <w:sz w:val="32"/>
          <w:szCs w:val="32"/>
        </w:rPr>
        <w:t>于预算数的主要原因</w:t>
      </w:r>
      <w:r>
        <w:rPr>
          <w:rFonts w:hint="eastAsia" w:ascii="仿宋_GB2312" w:hAnsi="宋体" w:eastAsia="仿宋_GB2312" w:cs="Courier New"/>
          <w:sz w:val="32"/>
          <w:szCs w:val="32"/>
          <w:lang w:eastAsia="zh-CN"/>
        </w:rPr>
        <w:t>是因为职能划分，部分预算项目划</w:t>
      </w:r>
      <w:r>
        <w:rPr>
          <w:rFonts w:hint="eastAsia" w:ascii="仿宋_GB2312" w:hAnsi="宋体" w:eastAsia="仿宋_GB2312" w:cs="Courier New"/>
          <w:sz w:val="32"/>
          <w:szCs w:val="32"/>
          <w:lang w:val="en-US" w:eastAsia="zh-CN"/>
        </w:rPr>
        <w:t>转</w:t>
      </w:r>
      <w:r>
        <w:rPr>
          <w:rFonts w:hint="eastAsia" w:ascii="仿宋_GB2312" w:hAnsi="宋体" w:eastAsia="仿宋_GB2312" w:cs="Courier New"/>
          <w:sz w:val="32"/>
          <w:szCs w:val="32"/>
          <w:lang w:eastAsia="zh-CN"/>
        </w:rPr>
        <w:t>到城市管理局</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其中：</w:t>
      </w:r>
    </w:p>
    <w:p>
      <w:pPr>
        <w:numPr>
          <w:ilvl w:val="0"/>
          <w:numId w:val="0"/>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lang w:val="en-US" w:eastAsia="zh-CN"/>
        </w:rPr>
        <w:t>1、</w:t>
      </w:r>
      <w:r>
        <w:rPr>
          <w:rFonts w:hint="eastAsia" w:ascii="仿宋_GB2312" w:hAnsi="宋体" w:eastAsia="仿宋_GB2312" w:cs="Courier New"/>
          <w:b/>
          <w:bCs/>
          <w:sz w:val="32"/>
          <w:szCs w:val="32"/>
          <w:lang w:eastAsia="zh-CN"/>
        </w:rPr>
        <w:t>社会保障和就业支出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行政事业单位离退休</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事业单位离退休</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137.51</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137.51</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lang w:val="en-US" w:eastAsia="zh-CN"/>
        </w:rPr>
        <w:t>2、</w:t>
      </w:r>
      <w:r>
        <w:rPr>
          <w:rFonts w:hint="eastAsia" w:ascii="仿宋_GB2312" w:hAnsi="宋体" w:eastAsia="仿宋_GB2312" w:cs="Courier New"/>
          <w:b/>
          <w:bCs/>
          <w:sz w:val="32"/>
          <w:szCs w:val="32"/>
          <w:lang w:eastAsia="zh-CN"/>
        </w:rPr>
        <w:t>城乡社区支出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城乡社区管理事务</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行政运行</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264.46</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264.46</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lang w:val="en-US" w:eastAsia="zh-CN"/>
        </w:rPr>
        <w:t>3、</w:t>
      </w:r>
      <w:r>
        <w:rPr>
          <w:rFonts w:hint="eastAsia" w:ascii="仿宋_GB2312" w:hAnsi="宋体" w:eastAsia="仿宋_GB2312" w:cs="Courier New"/>
          <w:b/>
          <w:bCs/>
          <w:sz w:val="32"/>
          <w:szCs w:val="32"/>
          <w:lang w:eastAsia="zh-CN"/>
        </w:rPr>
        <w:t>城乡社区支出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城乡社区管理事务</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住宅建设与房地产市场监管</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117</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117</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val="en-US" w:eastAsia="zh-CN"/>
        </w:rPr>
        <w:t>4、</w:t>
      </w:r>
      <w:r>
        <w:rPr>
          <w:rFonts w:hint="eastAsia" w:ascii="仿宋_GB2312" w:hAnsi="宋体" w:eastAsia="仿宋_GB2312" w:cs="Courier New"/>
          <w:b/>
          <w:bCs/>
          <w:sz w:val="32"/>
          <w:szCs w:val="32"/>
          <w:lang w:eastAsia="zh-CN"/>
        </w:rPr>
        <w:t>住房保障支出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保障性安居工程支出</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农村危房改造</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374</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374</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3" w:firstLineChars="200"/>
        <w:rPr>
          <w:rFonts w:hint="eastAsia" w:ascii="仿宋_GB2312" w:hAnsi="宋体" w:eastAsia="仿宋_GB2312" w:cs="Courier New"/>
          <w:sz w:val="32"/>
          <w:szCs w:val="32"/>
          <w:lang w:eastAsia="zh-CN"/>
        </w:rPr>
      </w:pPr>
      <w:r>
        <w:rPr>
          <w:rFonts w:hint="eastAsia" w:ascii="仿宋_GB2312" w:hAnsi="宋体" w:eastAsia="仿宋_GB2312" w:cs="Courier New"/>
          <w:b/>
          <w:bCs/>
          <w:sz w:val="32"/>
          <w:szCs w:val="32"/>
          <w:lang w:val="en-US" w:eastAsia="zh-CN"/>
        </w:rPr>
        <w:t>5、</w:t>
      </w:r>
      <w:r>
        <w:rPr>
          <w:rFonts w:hint="eastAsia" w:ascii="仿宋_GB2312" w:hAnsi="宋体" w:eastAsia="仿宋_GB2312" w:cs="Courier New"/>
          <w:b/>
          <w:bCs/>
          <w:sz w:val="32"/>
          <w:szCs w:val="32"/>
          <w:lang w:eastAsia="zh-CN"/>
        </w:rPr>
        <w:t>住房保障支出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保障性安居工程支出</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公共租赁住房</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4</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4</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val="en-US" w:eastAsia="zh-CN"/>
        </w:rPr>
        <w:t>住建局</w:t>
      </w:r>
      <w:r>
        <w:rPr>
          <w:rFonts w:hint="eastAsia" w:ascii="仿宋_GB2312" w:hAnsi="宋体" w:eastAsia="仿宋_GB2312" w:cs="Courier New"/>
          <w:sz w:val="32"/>
          <w:szCs w:val="32"/>
        </w:rPr>
        <w:t>2016年一般公共预算财政拨款基本支出</w:t>
      </w:r>
      <w:r>
        <w:rPr>
          <w:rFonts w:hint="eastAsia" w:ascii="仿宋_GB2312" w:hAnsi="宋体" w:eastAsia="仿宋_GB2312" w:cs="Courier New"/>
          <w:sz w:val="32"/>
          <w:szCs w:val="32"/>
          <w:lang w:val="en-US" w:eastAsia="zh-CN"/>
        </w:rPr>
        <w:t>896.97</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422.72</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主要包括：基本工资、津贴补贴、绩效工资；</w:t>
      </w:r>
      <w:r>
        <w:rPr>
          <w:rFonts w:hint="eastAsia" w:ascii="仿宋_GB2312" w:hAnsi="Times New Roman" w:eastAsia="仿宋_GB2312" w:cs="仿宋_GB2312"/>
          <w:b w:val="0"/>
          <w:bCs/>
          <w:spacing w:val="-1"/>
          <w:kern w:val="0"/>
          <w:sz w:val="32"/>
          <w:szCs w:val="32"/>
        </w:rPr>
        <w:t>公用经费</w:t>
      </w:r>
      <w:r>
        <w:rPr>
          <w:rFonts w:hint="eastAsia" w:ascii="仿宋_GB2312" w:hAnsi="Times New Roman" w:eastAsia="仿宋_GB2312" w:cs="仿宋_GB2312"/>
          <w:spacing w:val="-2"/>
          <w:kern w:val="0"/>
          <w:sz w:val="32"/>
          <w:szCs w:val="32"/>
          <w:lang w:val="en-US" w:eastAsia="zh-CN"/>
        </w:rPr>
        <w:t>96.25</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，主要包括：办公费、印刷费、水费、电费、取暖费、差旅费、维修费、公务接待费、劳务费、其他商品和服务支出</w:t>
      </w:r>
      <w:r>
        <w:rPr>
          <w:rFonts w:hint="eastAsia" w:ascii="仿宋_GB2312" w:eastAsia="仿宋_GB2312"/>
          <w:sz w:val="32"/>
          <w:szCs w:val="32"/>
          <w:lang w:eastAsia="zh-CN"/>
        </w:rPr>
        <w:t>；项目支出</w:t>
      </w:r>
      <w:r>
        <w:rPr>
          <w:rFonts w:hint="eastAsia" w:ascii="仿宋_GB2312" w:eastAsia="仿宋_GB2312"/>
          <w:sz w:val="32"/>
          <w:szCs w:val="32"/>
          <w:lang w:val="en-US" w:eastAsia="zh-CN"/>
        </w:rPr>
        <w:t>378万元，主要包括：农村危房改造支出和保障性住房支出</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0"/>
        </w:num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住建局2016年度</w:t>
      </w:r>
      <w:r>
        <w:rPr>
          <w:rFonts w:hint="eastAsia" w:ascii="仿宋_GB2312" w:hAnsi="宋体" w:eastAsia="仿宋_GB2312" w:cs="Courier New"/>
          <w:sz w:val="32"/>
          <w:szCs w:val="32"/>
        </w:rPr>
        <w:t>“三公”经费财政拨款支出预算为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和</w:t>
      </w:r>
      <w:r>
        <w:rPr>
          <w:rFonts w:ascii="仿宋_GB2312" w:hAnsi="宋体" w:eastAsia="仿宋_GB2312" w:cs="Courier New"/>
          <w:sz w:val="32"/>
          <w:szCs w:val="32"/>
        </w:rPr>
        <w:t>2015</w:t>
      </w:r>
      <w:r>
        <w:rPr>
          <w:rFonts w:hint="eastAsia" w:ascii="仿宋_GB2312" w:hAnsi="宋体" w:eastAsia="仿宋_GB2312" w:cs="Courier New"/>
          <w:sz w:val="32"/>
          <w:szCs w:val="32"/>
        </w:rPr>
        <w:t>年</w:t>
      </w:r>
      <w:r>
        <w:rPr>
          <w:rFonts w:hint="eastAsia" w:ascii="仿宋_GB2312" w:hAnsi="宋体" w:eastAsia="仿宋_GB2312" w:cs="Courier New"/>
          <w:sz w:val="32"/>
          <w:szCs w:val="32"/>
          <w:lang w:val="en-US" w:eastAsia="zh-CN"/>
        </w:rPr>
        <w:t>相比无变化。</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b/>
          <w:bCs/>
          <w:sz w:val="32"/>
          <w:szCs w:val="32"/>
          <w:lang w:val="en-US" w:eastAsia="zh-CN"/>
        </w:rPr>
        <w:t>1、</w:t>
      </w:r>
      <w:r>
        <w:rPr>
          <w:rFonts w:hint="eastAsia" w:ascii="仿宋_GB2312" w:hAnsi="宋体" w:eastAsia="仿宋_GB2312"/>
          <w:b/>
          <w:bCs/>
          <w:sz w:val="32"/>
          <w:szCs w:val="32"/>
        </w:rPr>
        <w:t>因公出国（境）费</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numPr>
          <w:ilvl w:val="0"/>
          <w:numId w:val="0"/>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lang w:val="en-US" w:eastAsia="zh-CN"/>
        </w:rPr>
        <w:t>2、</w:t>
      </w:r>
      <w:r>
        <w:rPr>
          <w:rFonts w:hint="eastAsia" w:ascii="仿宋_GB2312" w:hAnsi="宋体" w:eastAsia="仿宋_GB2312"/>
          <w:b/>
          <w:bCs/>
          <w:sz w:val="32"/>
          <w:szCs w:val="32"/>
        </w:rPr>
        <w:t>公务用车购置及运行费</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万元。其中：</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lang w:val="en-US" w:eastAsia="zh-CN"/>
        </w:rPr>
      </w:pPr>
      <w:r>
        <w:rPr>
          <w:rFonts w:hint="eastAsia" w:ascii="仿宋_GB2312" w:hAnsi="宋体" w:eastAsia="仿宋_GB2312"/>
          <w:b/>
          <w:bCs/>
          <w:sz w:val="32"/>
          <w:szCs w:val="32"/>
          <w:lang w:val="en-US" w:eastAsia="zh-CN"/>
        </w:rPr>
        <w:t>3、</w:t>
      </w:r>
      <w:r>
        <w:rPr>
          <w:rFonts w:hint="eastAsia" w:ascii="仿宋_GB2312" w:hAnsi="宋体" w:eastAsia="仿宋_GB2312"/>
          <w:b/>
          <w:bCs/>
          <w:sz w:val="32"/>
          <w:szCs w:val="32"/>
        </w:rPr>
        <w:t>公务接待费</w:t>
      </w:r>
      <w:r>
        <w:rPr>
          <w:rFonts w:hint="eastAsia" w:ascii="仿宋_GB2312" w:hAnsi="宋体" w:eastAsia="仿宋_GB2312"/>
          <w:b w:val="0"/>
          <w:bCs w:val="0"/>
          <w:sz w:val="32"/>
          <w:szCs w:val="32"/>
        </w:rPr>
        <w:t>支出</w:t>
      </w:r>
      <w:r>
        <w:rPr>
          <w:rFonts w:hint="eastAsia" w:ascii="仿宋_GB2312" w:hAnsi="宋体" w:eastAsia="仿宋_GB2312"/>
          <w:b w:val="0"/>
          <w:bCs w:val="0"/>
          <w:sz w:val="32"/>
          <w:szCs w:val="32"/>
          <w:lang w:val="en-US" w:eastAsia="zh-CN"/>
        </w:rPr>
        <w:t>0</w:t>
      </w:r>
      <w:r>
        <w:rPr>
          <w:rFonts w:hint="eastAsia" w:ascii="仿宋_GB2312" w:hAnsi="宋体" w:eastAsia="仿宋_GB2312"/>
          <w:b w:val="0"/>
          <w:bCs w:val="0"/>
          <w:sz w:val="32"/>
          <w:szCs w:val="32"/>
        </w:rPr>
        <w:t>万元。</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w:t>
      </w:r>
    </w:p>
    <w:p>
      <w:pPr>
        <w:numPr>
          <w:ilvl w:val="0"/>
          <w:numId w:val="6"/>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根据财政预算管理要求，</w:t>
      </w:r>
      <w:r>
        <w:rPr>
          <w:rFonts w:hint="eastAsia" w:ascii="仿宋_GB2312" w:hAnsi="宋体" w:eastAsia="仿宋_GB2312" w:cs="Courier New"/>
          <w:sz w:val="32"/>
          <w:szCs w:val="32"/>
          <w:lang w:val="en-US" w:eastAsia="zh-CN"/>
        </w:rPr>
        <w:t>住建</w:t>
      </w:r>
      <w:r>
        <w:rPr>
          <w:rFonts w:hint="eastAsia" w:ascii="仿宋_GB2312" w:hAnsi="宋体" w:eastAsia="仿宋_GB2312" w:cs="Courier New"/>
          <w:sz w:val="32"/>
          <w:szCs w:val="32"/>
        </w:rPr>
        <w:t>局对</w:t>
      </w: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年度一般公共预算项目支出全面开展绩效自评。其中，一级项目</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个，二级项目</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个，共涉及预算资金</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万元，自评覆盖率达到</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6"/>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val="en-US" w:eastAsia="zh-CN"/>
        </w:rPr>
        <w:t>住建局</w:t>
      </w:r>
      <w:r>
        <w:rPr>
          <w:rFonts w:hint="eastAsia" w:ascii="仿宋_GB2312" w:hAnsi="宋体" w:eastAsia="仿宋_GB2312" w:cs="Courier New"/>
          <w:sz w:val="32"/>
          <w:szCs w:val="32"/>
        </w:rPr>
        <w:t>在</w:t>
      </w:r>
      <w:r>
        <w:rPr>
          <w:rFonts w:ascii="仿宋_GB2312" w:hAnsi="宋体" w:eastAsia="仿宋_GB2312" w:cs="Courier New"/>
          <w:sz w:val="32"/>
          <w:szCs w:val="32"/>
        </w:rPr>
        <w:t>2016</w:t>
      </w:r>
      <w:r>
        <w:rPr>
          <w:rFonts w:hint="eastAsia" w:ascii="仿宋_GB2312" w:hAnsi="宋体" w:eastAsia="仿宋_GB2312" w:cs="Courier New"/>
          <w:sz w:val="32"/>
          <w:szCs w:val="32"/>
        </w:rPr>
        <w:t>年度部门决算中增加“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”项目绩效评价结果。根据</w:t>
      </w:r>
      <w:r>
        <w:rPr>
          <w:rFonts w:ascii="仿宋_GB2312" w:hAnsi="宋体" w:eastAsia="仿宋_GB2312" w:cs="Courier New"/>
          <w:sz w:val="32"/>
          <w:szCs w:val="32"/>
        </w:rPr>
        <w:t>2016</w:t>
      </w:r>
      <w:r>
        <w:rPr>
          <w:rFonts w:hint="eastAsia" w:ascii="仿宋_GB2312" w:hAnsi="宋体" w:eastAsia="仿宋_GB2312" w:cs="Courier New"/>
          <w:sz w:val="32"/>
          <w:szCs w:val="32"/>
        </w:rPr>
        <w:t>年年初设定的绩效目标，“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”项目自评得分为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分。</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2016年度政府性基金预算财政拨款支出年初预算为</w:t>
      </w:r>
      <w:r>
        <w:rPr>
          <w:rFonts w:hint="eastAsia" w:ascii="仿宋_GB2312" w:hAnsi="宋体" w:eastAsia="仿宋_GB2312" w:cs="Courier New"/>
          <w:sz w:val="32"/>
          <w:szCs w:val="32"/>
          <w:lang w:val="en-US" w:eastAsia="zh-CN"/>
        </w:rPr>
        <w:t>2305.24</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2305.24</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主要用于</w:t>
      </w:r>
      <w:r>
        <w:rPr>
          <w:rFonts w:hint="eastAsia" w:ascii="仿宋_GB2312" w:hAnsi="宋体" w:eastAsia="仿宋_GB2312" w:cs="Courier New"/>
          <w:sz w:val="32"/>
          <w:szCs w:val="32"/>
          <w:lang w:eastAsia="zh-CN"/>
        </w:rPr>
        <w:t>城乡社区支出</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其他重要事项的情况说明</w:t>
      </w:r>
    </w:p>
    <w:p>
      <w:pPr>
        <w:numPr>
          <w:ilvl w:val="0"/>
          <w:numId w:val="7"/>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b/>
          <w:bCs/>
          <w:sz w:val="32"/>
          <w:szCs w:val="32"/>
        </w:rPr>
      </w:pPr>
      <w:r>
        <w:rPr>
          <w:rFonts w:hint="eastAsia" w:ascii="仿宋_GB2312" w:hAnsi="宋体" w:eastAsia="仿宋_GB2312" w:cs="Courier New"/>
          <w:sz w:val="32"/>
          <w:szCs w:val="32"/>
          <w:lang w:val="en-US" w:eastAsia="zh-CN"/>
        </w:rPr>
        <w:t>住建局</w:t>
      </w:r>
      <w:r>
        <w:rPr>
          <w:rFonts w:ascii="仿宋_GB2312" w:hAnsi="宋体" w:eastAsia="仿宋_GB2312" w:cs="Courier New"/>
          <w:sz w:val="32"/>
          <w:szCs w:val="32"/>
        </w:rPr>
        <w:t>2016</w:t>
      </w:r>
      <w:r>
        <w:rPr>
          <w:rFonts w:hint="eastAsia" w:ascii="仿宋_GB2312" w:hAnsi="宋体" w:eastAsia="仿宋_GB2312" w:cs="Courier New"/>
          <w:sz w:val="32"/>
          <w:szCs w:val="32"/>
        </w:rPr>
        <w:t>年度机关运行经费支出</w:t>
      </w:r>
      <w:r>
        <w:rPr>
          <w:rFonts w:hint="eastAsia" w:ascii="仿宋_GB2312" w:hAnsi="Times New Roman" w:eastAsia="仿宋_GB2312" w:cs="仿宋_GB2312"/>
          <w:spacing w:val="-2"/>
          <w:kern w:val="0"/>
          <w:sz w:val="32"/>
          <w:szCs w:val="32"/>
          <w:lang w:val="en-US" w:eastAsia="zh-CN"/>
        </w:rPr>
        <w:t>96.25</w:t>
      </w:r>
      <w:r>
        <w:rPr>
          <w:rFonts w:hint="eastAsia" w:ascii="仿宋_GB2312" w:hAnsi="宋体" w:eastAsia="仿宋_GB2312" w:cs="Courier New"/>
          <w:sz w:val="32"/>
          <w:szCs w:val="32"/>
        </w:rPr>
        <w:t>万元，</w:t>
      </w:r>
      <w:r>
        <w:rPr>
          <w:rFonts w:hint="eastAsia" w:ascii="仿宋_GB2312" w:hAnsi="宋体" w:eastAsia="仿宋_GB2312" w:cs="Courier New"/>
          <w:b/>
          <w:bCs/>
          <w:sz w:val="32"/>
          <w:szCs w:val="32"/>
        </w:rPr>
        <w:t>比</w:t>
      </w:r>
      <w:r>
        <w:rPr>
          <w:rFonts w:ascii="仿宋_GB2312" w:hAnsi="宋体" w:eastAsia="仿宋_GB2312" w:cs="Courier New"/>
          <w:b/>
          <w:bCs/>
          <w:sz w:val="32"/>
          <w:szCs w:val="32"/>
        </w:rPr>
        <w:t>2015</w:t>
      </w:r>
      <w:r>
        <w:rPr>
          <w:rFonts w:hint="eastAsia" w:ascii="仿宋_GB2312" w:hAnsi="宋体" w:eastAsia="仿宋_GB2312" w:cs="Courier New"/>
          <w:b/>
          <w:bCs/>
          <w:sz w:val="32"/>
          <w:szCs w:val="32"/>
        </w:rPr>
        <w:t>年</w:t>
      </w:r>
      <w:r>
        <w:rPr>
          <w:rFonts w:hint="eastAsia" w:ascii="仿宋_GB2312" w:hAnsi="宋体" w:eastAsia="仿宋_GB2312" w:cs="Courier New"/>
          <w:b/>
          <w:bCs/>
          <w:sz w:val="32"/>
          <w:szCs w:val="32"/>
          <w:lang w:val="en-US" w:eastAsia="zh-CN"/>
        </w:rPr>
        <w:t>减少572</w:t>
      </w:r>
      <w:r>
        <w:rPr>
          <w:rFonts w:hint="eastAsia" w:ascii="仿宋_GB2312" w:hAnsi="宋体" w:eastAsia="仿宋_GB2312" w:cs="Courier New"/>
          <w:b/>
          <w:bCs/>
          <w:sz w:val="32"/>
          <w:szCs w:val="32"/>
        </w:rPr>
        <w:t>万元，</w:t>
      </w:r>
      <w:r>
        <w:rPr>
          <w:rFonts w:hint="eastAsia" w:ascii="仿宋_GB2312" w:hAnsi="宋体" w:eastAsia="仿宋_GB2312" w:cs="Courier New"/>
          <w:b/>
          <w:bCs/>
          <w:sz w:val="32"/>
          <w:szCs w:val="32"/>
          <w:lang w:val="en-US" w:eastAsia="zh-CN"/>
        </w:rPr>
        <w:t>减少83.2</w:t>
      </w:r>
      <w:r>
        <w:rPr>
          <w:rFonts w:ascii="仿宋_GB2312" w:hAnsi="宋体" w:eastAsia="仿宋_GB2312" w:cs="Courier New"/>
          <w:b/>
          <w:bCs/>
          <w:sz w:val="32"/>
          <w:szCs w:val="32"/>
        </w:rPr>
        <w:t>%</w:t>
      </w:r>
      <w:r>
        <w:rPr>
          <w:rFonts w:hint="eastAsia" w:ascii="仿宋_GB2312" w:hAnsi="宋体" w:eastAsia="仿宋_GB2312" w:cs="Courier New"/>
          <w:b/>
          <w:bCs/>
          <w:sz w:val="32"/>
          <w:szCs w:val="32"/>
        </w:rPr>
        <w:t>。</w:t>
      </w:r>
    </w:p>
    <w:p>
      <w:pPr>
        <w:numPr>
          <w:ilvl w:val="0"/>
          <w:numId w:val="7"/>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仿宋_GB2312"/>
          <w:sz w:val="32"/>
          <w:szCs w:val="32"/>
          <w:lang w:val="en-US" w:eastAsia="zh-CN"/>
        </w:rPr>
        <w:t>住建局</w:t>
      </w:r>
      <w:r>
        <w:rPr>
          <w:rFonts w:ascii="仿宋_GB2312" w:hAnsi="宋体" w:eastAsia="仿宋_GB2312" w:cs="仿宋_GB2312"/>
          <w:sz w:val="32"/>
          <w:szCs w:val="32"/>
        </w:rPr>
        <w:t>2016</w:t>
      </w:r>
      <w:r>
        <w:rPr>
          <w:rFonts w:hint="eastAsia" w:ascii="仿宋_GB2312" w:hAnsi="宋体" w:eastAsia="仿宋_GB2312" w:cs="仿宋_GB2312"/>
          <w:sz w:val="32"/>
          <w:szCs w:val="32"/>
        </w:rPr>
        <w:t>年度政府采购支出总额</w:t>
      </w:r>
      <w:r>
        <w:rPr>
          <w:rFonts w:ascii="仿宋_GB2312" w:hAnsi="宋体" w:eastAsia="仿宋_GB2312" w:cs="仿宋_GB2312"/>
          <w:sz w:val="32"/>
          <w:szCs w:val="32"/>
        </w:rPr>
        <w:t>0</w:t>
      </w:r>
      <w:r>
        <w:rPr>
          <w:rFonts w:hint="eastAsia" w:ascii="仿宋_GB2312" w:hAnsi="宋体" w:eastAsia="仿宋_GB2312" w:cs="仿宋_GB2312"/>
          <w:sz w:val="32"/>
          <w:szCs w:val="32"/>
        </w:rPr>
        <w:t>万元</w:t>
      </w:r>
      <w:r>
        <w:rPr>
          <w:rFonts w:hint="eastAsia" w:ascii="仿宋_GB2312" w:hAnsi="宋体" w:eastAsia="仿宋_GB2312" w:cs="Courier New"/>
          <w:sz w:val="32"/>
          <w:szCs w:val="32"/>
        </w:rPr>
        <w:t>。</w:t>
      </w:r>
    </w:p>
    <w:p>
      <w:pPr>
        <w:numPr>
          <w:ilvl w:val="0"/>
          <w:numId w:val="0"/>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lang w:eastAsia="zh-CN"/>
        </w:rPr>
        <w:t>（三）</w:t>
      </w: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val="en-US" w:eastAsia="zh-CN"/>
        </w:rPr>
        <w:t>住建局</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w:t>
      </w:r>
      <w:r>
        <w:rPr>
          <w:rFonts w:hint="eastAsia" w:ascii="仿宋_GB2312" w:hAnsi="宋体" w:eastAsia="仿宋_GB2312" w:cs="Courier New"/>
          <w:sz w:val="32"/>
          <w:szCs w:val="32"/>
          <w:lang w:eastAsia="zh-CN"/>
        </w:rPr>
        <w:t>。</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eastAsia="zh-CN"/>
        </w:rPr>
        <w:t>县</w:t>
      </w:r>
      <w:r>
        <w:rPr>
          <w:rFonts w:hint="eastAsia" w:ascii="仿宋_GB2312" w:hAnsi="宋体" w:eastAsia="仿宋_GB2312" w:cs="Courier New"/>
          <w:sz w:val="32"/>
          <w:szCs w:val="32"/>
        </w:rPr>
        <w:t>级财政当年拨付的资金。</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lang w:eastAsia="zh-CN"/>
        </w:rPr>
        <w:t>二</w:t>
      </w:r>
      <w:r>
        <w:rPr>
          <w:rFonts w:hint="eastAsia" w:ascii="仿宋_GB2312" w:hAnsi="宋体" w:eastAsia="仿宋_GB2312" w:cs="Courier New"/>
          <w:b/>
          <w:bCs/>
          <w:sz w:val="32"/>
          <w:szCs w:val="32"/>
        </w:rPr>
        <w:t>、基本支出：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lang w:eastAsia="zh-CN"/>
        </w:rPr>
      </w:pPr>
      <w:r>
        <w:rPr>
          <w:rFonts w:hint="eastAsia" w:ascii="仿宋_GB2312" w:hAnsi="宋体" w:eastAsia="仿宋_GB2312" w:cs="Courier New"/>
          <w:b/>
          <w:bCs/>
          <w:sz w:val="32"/>
          <w:szCs w:val="32"/>
          <w:lang w:eastAsia="zh-CN"/>
        </w:rPr>
        <w:t>三</w:t>
      </w:r>
      <w:r>
        <w:rPr>
          <w:rFonts w:hint="eastAsia" w:ascii="仿宋_GB2312" w:hAnsi="宋体" w:eastAsia="仿宋_GB2312" w:cs="Courier New"/>
          <w:b/>
          <w:bCs/>
          <w:sz w:val="32"/>
          <w:szCs w:val="32"/>
        </w:rPr>
        <w:t>、项目支出：</w:t>
      </w:r>
      <w:r>
        <w:rPr>
          <w:rFonts w:hint="eastAsia" w:ascii="仿宋_GB2312" w:hAnsi="宋体" w:eastAsia="仿宋_GB2312" w:cs="Courier New"/>
          <w:sz w:val="32"/>
          <w:szCs w:val="32"/>
        </w:rPr>
        <w:t>指在基本支出之外为完成特定行政任务和事业发展目标所发生的支出</w:t>
      </w:r>
      <w:r>
        <w:rPr>
          <w:rFonts w:hint="eastAsia" w:ascii="仿宋_GB2312" w:hAnsi="宋体" w:eastAsia="仿宋_GB2312" w:cs="Courier New"/>
          <w:sz w:val="32"/>
          <w:szCs w:val="32"/>
          <w:lang w:eastAsia="zh-CN"/>
        </w:rPr>
        <w:t>。</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lang w:eastAsia="zh-CN"/>
        </w:rPr>
      </w:pPr>
      <w:r>
        <w:rPr>
          <w:rFonts w:hint="eastAsia" w:ascii="仿宋_GB2312" w:hAnsi="宋体" w:eastAsia="仿宋_GB2312" w:cs="Courier New"/>
          <w:b/>
          <w:bCs/>
          <w:sz w:val="32"/>
          <w:szCs w:val="32"/>
          <w:lang w:eastAsia="zh-CN"/>
        </w:rPr>
        <w:t>四、社会保障和就业支出（类）行政事业单位离退休（款）事业单位离退休（项）：</w:t>
      </w:r>
      <w:r>
        <w:rPr>
          <w:rFonts w:hint="eastAsia" w:ascii="仿宋_GB2312" w:hAnsi="宋体" w:eastAsia="仿宋_GB2312" w:cs="Courier New"/>
          <w:sz w:val="32"/>
          <w:szCs w:val="32"/>
          <w:lang w:eastAsia="zh-CN"/>
        </w:rPr>
        <w:t>用于离退休人员工资发放。</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lang w:eastAsia="zh-CN"/>
        </w:rPr>
      </w:pPr>
      <w:r>
        <w:rPr>
          <w:rFonts w:hint="eastAsia" w:ascii="仿宋_GB2312" w:hAnsi="宋体" w:eastAsia="仿宋_GB2312" w:cs="Courier New"/>
          <w:b/>
          <w:bCs/>
          <w:color w:val="auto"/>
          <w:sz w:val="32"/>
          <w:szCs w:val="32"/>
          <w:lang w:eastAsia="zh-CN"/>
        </w:rPr>
        <w:t>五</w:t>
      </w:r>
      <w:r>
        <w:rPr>
          <w:rFonts w:hint="eastAsia" w:ascii="仿宋_GB2312" w:hAnsi="宋体" w:eastAsia="仿宋_GB2312" w:cs="Courier New"/>
          <w:b/>
          <w:bCs/>
          <w:sz w:val="32"/>
          <w:szCs w:val="32"/>
          <w:lang w:eastAsia="zh-CN"/>
        </w:rPr>
        <w:t>、</w:t>
      </w:r>
      <w:r>
        <w:rPr>
          <w:rFonts w:hint="eastAsia" w:ascii="仿宋_GB2312" w:hAnsi="仿宋_GB2312" w:eastAsia="仿宋_GB2312" w:cs="仿宋_GB2312"/>
          <w:b/>
          <w:bCs/>
          <w:i w:val="0"/>
          <w:color w:val="000000"/>
          <w:kern w:val="0"/>
          <w:sz w:val="32"/>
          <w:szCs w:val="32"/>
          <w:u w:val="none"/>
          <w:lang w:val="en-US" w:eastAsia="zh-CN" w:bidi="ar"/>
        </w:rPr>
        <w:t>城乡社区支出</w:t>
      </w:r>
      <w:r>
        <w:rPr>
          <w:rFonts w:hint="eastAsia" w:ascii="仿宋_GB2312" w:hAnsi="仿宋_GB2312" w:eastAsia="仿宋_GB2312" w:cs="仿宋_GB2312"/>
          <w:b/>
          <w:bCs/>
          <w:sz w:val="32"/>
          <w:szCs w:val="32"/>
          <w:lang w:eastAsia="zh-CN"/>
        </w:rPr>
        <w:t>（类）</w:t>
      </w:r>
      <w:r>
        <w:rPr>
          <w:rFonts w:hint="eastAsia" w:ascii="仿宋_GB2312" w:hAnsi="仿宋_GB2312" w:eastAsia="仿宋_GB2312" w:cs="仿宋_GB2312"/>
          <w:b/>
          <w:bCs/>
          <w:i w:val="0"/>
          <w:color w:val="000000"/>
          <w:kern w:val="0"/>
          <w:sz w:val="32"/>
          <w:szCs w:val="32"/>
          <w:u w:val="none"/>
          <w:lang w:val="en-US" w:eastAsia="zh-CN" w:bidi="ar"/>
        </w:rPr>
        <w:t>城乡社区管理事务</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i w:val="0"/>
          <w:color w:val="000000"/>
          <w:kern w:val="0"/>
          <w:sz w:val="32"/>
          <w:szCs w:val="32"/>
          <w:u w:val="none"/>
          <w:lang w:val="en-US" w:eastAsia="zh-CN" w:bidi="ar"/>
        </w:rPr>
        <w:t xml:space="preserve"> 行政运行</w:t>
      </w:r>
      <w:r>
        <w:rPr>
          <w:rFonts w:hint="eastAsia" w:ascii="仿宋_GB2312" w:hAnsi="仿宋_GB2312" w:eastAsia="仿宋_GB2312" w:cs="仿宋_GB2312"/>
          <w:b/>
          <w:bCs/>
          <w:sz w:val="32"/>
          <w:szCs w:val="32"/>
          <w:lang w:eastAsia="zh-CN"/>
        </w:rPr>
        <w:t>（项）</w:t>
      </w:r>
      <w:r>
        <w:rPr>
          <w:rFonts w:hint="eastAsia" w:ascii="仿宋_GB2312" w:hAnsi="宋体" w:eastAsia="仿宋_GB2312" w:cs="Courier New"/>
          <w:b/>
          <w:bCs/>
          <w:sz w:val="32"/>
          <w:szCs w:val="32"/>
          <w:lang w:eastAsia="zh-CN"/>
        </w:rPr>
        <w:t>：</w:t>
      </w:r>
      <w:r>
        <w:rPr>
          <w:rFonts w:hint="eastAsia" w:ascii="仿宋_GB2312" w:hAnsi="宋体" w:eastAsia="仿宋_GB2312" w:cs="Courier New"/>
          <w:sz w:val="32"/>
          <w:szCs w:val="32"/>
          <w:lang w:eastAsia="zh-CN"/>
        </w:rPr>
        <w:t>用于日常办公经费支出。</w:t>
      </w:r>
    </w:p>
    <w:p>
      <w:p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32"/>
          <w:szCs w:val="32"/>
          <w:u w:val="none"/>
          <w:lang w:val="en-US" w:eastAsia="zh-CN" w:bidi="ar"/>
        </w:rPr>
        <w:t>六、城乡社区支出</w:t>
      </w:r>
      <w:r>
        <w:rPr>
          <w:rFonts w:hint="eastAsia" w:ascii="仿宋_GB2312" w:hAnsi="仿宋_GB2312" w:eastAsia="仿宋_GB2312" w:cs="仿宋_GB2312"/>
          <w:b/>
          <w:bCs/>
          <w:sz w:val="32"/>
          <w:szCs w:val="32"/>
          <w:lang w:eastAsia="zh-CN"/>
        </w:rPr>
        <w:t>（类）</w:t>
      </w:r>
      <w:r>
        <w:rPr>
          <w:rFonts w:hint="eastAsia" w:ascii="仿宋_GB2312" w:hAnsi="仿宋_GB2312" w:eastAsia="仿宋_GB2312" w:cs="仿宋_GB2312"/>
          <w:b/>
          <w:bCs/>
          <w:i w:val="0"/>
          <w:color w:val="000000"/>
          <w:kern w:val="0"/>
          <w:sz w:val="32"/>
          <w:szCs w:val="32"/>
          <w:u w:val="none"/>
          <w:lang w:val="en-US" w:eastAsia="zh-CN" w:bidi="ar"/>
        </w:rPr>
        <w:t>城乡社区管理事务</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i w:val="0"/>
          <w:color w:val="000000"/>
          <w:kern w:val="0"/>
          <w:sz w:val="32"/>
          <w:szCs w:val="32"/>
          <w:u w:val="none"/>
          <w:lang w:val="en-US" w:eastAsia="zh-CN" w:bidi="ar"/>
        </w:rPr>
        <w:t>住宅建设与房地产市场监管</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sz w:val="32"/>
          <w:szCs w:val="32"/>
          <w:lang w:eastAsia="zh-CN"/>
        </w:rPr>
        <w:t>用于本县</w:t>
      </w:r>
      <w:r>
        <w:rPr>
          <w:rFonts w:hint="eastAsia" w:ascii="仿宋_GB2312" w:hAnsi="仿宋_GB2312" w:eastAsia="仿宋_GB2312" w:cs="仿宋_GB2312"/>
          <w:i w:val="0"/>
          <w:color w:val="000000"/>
          <w:kern w:val="0"/>
          <w:sz w:val="32"/>
          <w:szCs w:val="32"/>
          <w:u w:val="none"/>
          <w:lang w:val="en-US" w:eastAsia="zh-CN" w:bidi="ar"/>
        </w:rPr>
        <w:t>住宅建设与房地产市场监督管理工作的支出。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lang w:eastAsia="zh-CN"/>
        </w:rPr>
      </w:pPr>
      <w:r>
        <w:rPr>
          <w:rFonts w:hint="eastAsia" w:ascii="仿宋_GB2312" w:hAnsi="仿宋_GB2312" w:eastAsia="仿宋_GB2312" w:cs="仿宋_GB2312"/>
          <w:b/>
          <w:bCs/>
          <w:i w:val="0"/>
          <w:color w:val="000000"/>
          <w:kern w:val="0"/>
          <w:sz w:val="32"/>
          <w:szCs w:val="32"/>
          <w:u w:val="none"/>
          <w:lang w:val="en-US" w:eastAsia="zh-CN" w:bidi="ar"/>
        </w:rPr>
        <w:t>七、城乡社区支出</w:t>
      </w:r>
      <w:r>
        <w:rPr>
          <w:rFonts w:hint="eastAsia" w:ascii="仿宋_GB2312" w:hAnsi="仿宋_GB2312" w:eastAsia="仿宋_GB2312" w:cs="仿宋_GB2312"/>
          <w:b/>
          <w:bCs/>
          <w:sz w:val="32"/>
          <w:szCs w:val="32"/>
          <w:lang w:eastAsia="zh-CN"/>
        </w:rPr>
        <w:t>（类）</w:t>
      </w:r>
      <w:r>
        <w:rPr>
          <w:rFonts w:hint="eastAsia" w:ascii="仿宋_GB2312" w:hAnsi="仿宋_GB2312" w:eastAsia="仿宋_GB2312" w:cs="仿宋_GB2312"/>
          <w:b/>
          <w:bCs/>
          <w:i w:val="0"/>
          <w:color w:val="000000"/>
          <w:kern w:val="0"/>
          <w:sz w:val="32"/>
          <w:szCs w:val="32"/>
          <w:u w:val="none"/>
          <w:lang w:val="en-US" w:eastAsia="zh-CN" w:bidi="ar"/>
        </w:rPr>
        <w:t>国有土地使用权出让收入及对应专项债务收入安排的支出</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i w:val="0"/>
          <w:color w:val="000000"/>
          <w:kern w:val="0"/>
          <w:sz w:val="32"/>
          <w:szCs w:val="32"/>
          <w:u w:val="none"/>
          <w:lang w:val="en-US" w:eastAsia="zh-CN" w:bidi="ar"/>
        </w:rPr>
        <w:t>城市建设支出</w:t>
      </w:r>
      <w:r>
        <w:rPr>
          <w:rFonts w:hint="eastAsia" w:ascii="仿宋_GB2312" w:hAnsi="仿宋_GB2312" w:eastAsia="仿宋_GB2312" w:cs="仿宋_GB2312"/>
          <w:b/>
          <w:bCs/>
          <w:sz w:val="32"/>
          <w:szCs w:val="32"/>
          <w:lang w:eastAsia="zh-CN"/>
        </w:rPr>
        <w:t>（项）</w:t>
      </w:r>
      <w:r>
        <w:rPr>
          <w:rFonts w:hint="eastAsia" w:ascii="仿宋_GB2312" w:hAnsi="宋体" w:eastAsia="仿宋_GB2312" w:cs="Courier New"/>
          <w:b/>
          <w:bCs/>
          <w:sz w:val="32"/>
          <w:szCs w:val="32"/>
          <w:lang w:eastAsia="zh-CN"/>
        </w:rPr>
        <w:t>：</w:t>
      </w:r>
      <w:r>
        <w:rPr>
          <w:rFonts w:hint="eastAsia" w:ascii="仿宋_GB2312" w:hAnsi="宋体" w:eastAsia="仿宋_GB2312" w:cs="Courier New"/>
          <w:sz w:val="32"/>
          <w:szCs w:val="32"/>
          <w:lang w:eastAsia="zh-CN"/>
        </w:rPr>
        <w:t>用于城市建设、改扩建等项目支出。</w:t>
      </w:r>
    </w:p>
    <w:p>
      <w:p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i w:val="0"/>
          <w:color w:val="000000"/>
          <w:kern w:val="0"/>
          <w:sz w:val="32"/>
          <w:szCs w:val="32"/>
          <w:u w:val="none"/>
          <w:lang w:val="en-US" w:eastAsia="zh-CN" w:bidi="ar"/>
        </w:rPr>
        <w:t>八、城乡社区支出</w:t>
      </w:r>
      <w:r>
        <w:rPr>
          <w:rFonts w:hint="eastAsia" w:ascii="仿宋_GB2312" w:hAnsi="仿宋_GB2312" w:eastAsia="仿宋_GB2312" w:cs="仿宋_GB2312"/>
          <w:b/>
          <w:bCs/>
          <w:sz w:val="32"/>
          <w:szCs w:val="32"/>
          <w:lang w:eastAsia="zh-CN"/>
        </w:rPr>
        <w:t>（类）</w:t>
      </w:r>
      <w:r>
        <w:rPr>
          <w:rFonts w:hint="eastAsia" w:ascii="仿宋_GB2312" w:hAnsi="仿宋_GB2312" w:eastAsia="仿宋_GB2312" w:cs="仿宋_GB2312"/>
          <w:b/>
          <w:bCs/>
          <w:i w:val="0"/>
          <w:color w:val="000000"/>
          <w:kern w:val="0"/>
          <w:sz w:val="32"/>
          <w:szCs w:val="32"/>
          <w:u w:val="none"/>
          <w:lang w:val="en-US" w:eastAsia="zh-CN" w:bidi="ar"/>
        </w:rPr>
        <w:t>国有土地使用权出让收入及对应专项债务收入安排的支出</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i w:val="0"/>
          <w:color w:val="000000"/>
          <w:kern w:val="0"/>
          <w:sz w:val="32"/>
          <w:szCs w:val="32"/>
          <w:u w:val="none"/>
          <w:lang w:val="en-US" w:eastAsia="zh-CN" w:bidi="ar"/>
        </w:rPr>
        <w:t>公共租赁住房支出</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sz w:val="32"/>
          <w:szCs w:val="32"/>
          <w:lang w:eastAsia="zh-CN"/>
        </w:rPr>
        <w:t>用于县城内的公共租赁住房建设、配套等费用的支出。</w:t>
      </w:r>
    </w:p>
    <w:p>
      <w:p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i w:val="0"/>
          <w:color w:val="000000"/>
          <w:kern w:val="0"/>
          <w:sz w:val="32"/>
          <w:szCs w:val="32"/>
          <w:u w:val="none"/>
          <w:lang w:val="en-US" w:eastAsia="zh-CN" w:bidi="ar"/>
        </w:rPr>
        <w:t>九、城乡社区支出</w:t>
      </w:r>
      <w:r>
        <w:rPr>
          <w:rFonts w:hint="eastAsia" w:ascii="仿宋_GB2312" w:hAnsi="仿宋_GB2312" w:eastAsia="仿宋_GB2312" w:cs="仿宋_GB2312"/>
          <w:b/>
          <w:bCs/>
          <w:sz w:val="32"/>
          <w:szCs w:val="32"/>
          <w:lang w:eastAsia="zh-CN"/>
        </w:rPr>
        <w:t>（类）</w:t>
      </w:r>
      <w:r>
        <w:rPr>
          <w:rFonts w:hint="eastAsia" w:ascii="仿宋_GB2312" w:hAnsi="仿宋_GB2312" w:eastAsia="仿宋_GB2312" w:cs="仿宋_GB2312"/>
          <w:b/>
          <w:bCs/>
          <w:i w:val="0"/>
          <w:color w:val="000000"/>
          <w:kern w:val="0"/>
          <w:sz w:val="32"/>
          <w:szCs w:val="32"/>
          <w:u w:val="none"/>
          <w:lang w:val="en-US" w:eastAsia="zh-CN" w:bidi="ar"/>
        </w:rPr>
        <w:t>国有土地使用权出让收入及对应专项债务收入安排的支出</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i w:val="0"/>
          <w:color w:val="000000"/>
          <w:kern w:val="0"/>
          <w:sz w:val="32"/>
          <w:szCs w:val="32"/>
          <w:u w:val="none"/>
          <w:lang w:val="en-US" w:eastAsia="zh-CN" w:bidi="ar"/>
        </w:rPr>
        <w:t>其他国有土地使用权出让收入安排的支出</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sz w:val="32"/>
          <w:szCs w:val="32"/>
          <w:lang w:eastAsia="zh-CN"/>
        </w:rPr>
        <w:t>用于</w:t>
      </w:r>
      <w:r>
        <w:rPr>
          <w:rFonts w:hint="eastAsia" w:ascii="仿宋_GB2312" w:hAnsi="仿宋_GB2312" w:eastAsia="仿宋_GB2312" w:cs="仿宋_GB2312"/>
          <w:i w:val="0"/>
          <w:color w:val="000000"/>
          <w:kern w:val="0"/>
          <w:sz w:val="32"/>
          <w:szCs w:val="32"/>
          <w:u w:val="none"/>
          <w:lang w:val="en-US" w:eastAsia="zh-CN" w:bidi="ar"/>
        </w:rPr>
        <w:t>其他国有土地使用权出让收入安排的支出。</w:t>
      </w:r>
    </w:p>
    <w:p>
      <w:p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i w:val="0"/>
          <w:color w:val="000000"/>
          <w:kern w:val="0"/>
          <w:sz w:val="32"/>
          <w:szCs w:val="32"/>
          <w:u w:val="none"/>
          <w:lang w:val="en-US" w:eastAsia="zh-CN" w:bidi="ar"/>
        </w:rPr>
        <w:t>十、城乡社区支出</w:t>
      </w:r>
      <w:r>
        <w:rPr>
          <w:rFonts w:hint="eastAsia" w:ascii="仿宋_GB2312" w:hAnsi="仿宋_GB2312" w:eastAsia="仿宋_GB2312" w:cs="仿宋_GB2312"/>
          <w:b/>
          <w:bCs/>
          <w:sz w:val="32"/>
          <w:szCs w:val="32"/>
          <w:lang w:eastAsia="zh-CN"/>
        </w:rPr>
        <w:t>（类）</w:t>
      </w:r>
      <w:r>
        <w:rPr>
          <w:rFonts w:hint="eastAsia" w:ascii="仿宋_GB2312" w:hAnsi="仿宋_GB2312" w:eastAsia="仿宋_GB2312" w:cs="仿宋_GB2312"/>
          <w:b/>
          <w:bCs/>
          <w:i w:val="0"/>
          <w:color w:val="000000"/>
          <w:kern w:val="0"/>
          <w:sz w:val="32"/>
          <w:szCs w:val="32"/>
          <w:u w:val="none"/>
          <w:lang w:val="en-US" w:eastAsia="zh-CN" w:bidi="ar"/>
        </w:rPr>
        <w:t>城市基础设施配套费及对应专项债务收入安排的支出</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i w:val="0"/>
          <w:color w:val="000000"/>
          <w:kern w:val="0"/>
          <w:sz w:val="32"/>
          <w:szCs w:val="32"/>
          <w:u w:val="none"/>
          <w:lang w:val="en-US" w:eastAsia="zh-CN" w:bidi="ar"/>
        </w:rPr>
        <w:t>城市公共设施</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sz w:val="32"/>
          <w:szCs w:val="32"/>
          <w:lang w:eastAsia="zh-CN"/>
        </w:rPr>
        <w:t>用于城市公共设施建设、维护等支出。</w:t>
      </w:r>
    </w:p>
    <w:p>
      <w:p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i w:val="0"/>
          <w:color w:val="000000"/>
          <w:kern w:val="0"/>
          <w:sz w:val="32"/>
          <w:szCs w:val="32"/>
          <w:u w:val="none"/>
          <w:lang w:val="en-US" w:eastAsia="zh-CN" w:bidi="ar"/>
        </w:rPr>
        <w:t>十一、城乡社区支出</w:t>
      </w:r>
      <w:r>
        <w:rPr>
          <w:rFonts w:hint="eastAsia" w:ascii="仿宋_GB2312" w:hAnsi="仿宋_GB2312" w:eastAsia="仿宋_GB2312" w:cs="仿宋_GB2312"/>
          <w:b/>
          <w:bCs/>
          <w:sz w:val="32"/>
          <w:szCs w:val="32"/>
          <w:lang w:eastAsia="zh-CN"/>
        </w:rPr>
        <w:t>（类）</w:t>
      </w:r>
      <w:r>
        <w:rPr>
          <w:rFonts w:hint="eastAsia" w:ascii="仿宋_GB2312" w:hAnsi="仿宋_GB2312" w:eastAsia="仿宋_GB2312" w:cs="仿宋_GB2312"/>
          <w:b/>
          <w:bCs/>
          <w:i w:val="0"/>
          <w:color w:val="000000"/>
          <w:kern w:val="0"/>
          <w:sz w:val="32"/>
          <w:szCs w:val="32"/>
          <w:u w:val="none"/>
          <w:lang w:val="en-US" w:eastAsia="zh-CN" w:bidi="ar"/>
        </w:rPr>
        <w:t>城市基础设施配套费及对应专项债务收入安排的支出</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i w:val="0"/>
          <w:color w:val="000000"/>
          <w:kern w:val="0"/>
          <w:sz w:val="32"/>
          <w:szCs w:val="32"/>
          <w:u w:val="none"/>
          <w:lang w:val="en-US" w:eastAsia="zh-CN" w:bidi="ar"/>
        </w:rPr>
        <w:t>城市环境卫生</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sz w:val="32"/>
          <w:szCs w:val="32"/>
          <w:lang w:eastAsia="zh-CN"/>
        </w:rPr>
        <w:t>用于城市环境卫生维护等项目支出。</w:t>
      </w:r>
    </w:p>
    <w:p>
      <w:p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i w:val="0"/>
          <w:color w:val="000000"/>
          <w:kern w:val="0"/>
          <w:sz w:val="32"/>
          <w:szCs w:val="32"/>
          <w:u w:val="none"/>
          <w:lang w:val="en-US" w:eastAsia="zh-CN" w:bidi="ar"/>
        </w:rPr>
        <w:t>十二、资源勘探信息等支出</w:t>
      </w:r>
      <w:r>
        <w:rPr>
          <w:rFonts w:hint="eastAsia" w:ascii="仿宋_GB2312" w:hAnsi="仿宋_GB2312" w:eastAsia="仿宋_GB2312" w:cs="仿宋_GB2312"/>
          <w:b/>
          <w:bCs/>
          <w:sz w:val="32"/>
          <w:szCs w:val="32"/>
          <w:lang w:eastAsia="zh-CN"/>
        </w:rPr>
        <w:t>（类）</w:t>
      </w:r>
      <w:r>
        <w:rPr>
          <w:rFonts w:hint="eastAsia" w:ascii="仿宋_GB2312" w:hAnsi="仿宋_GB2312" w:eastAsia="仿宋_GB2312" w:cs="仿宋_GB2312"/>
          <w:b/>
          <w:bCs/>
          <w:i w:val="0"/>
          <w:color w:val="000000"/>
          <w:kern w:val="0"/>
          <w:sz w:val="32"/>
          <w:szCs w:val="32"/>
          <w:u w:val="none"/>
          <w:lang w:val="en-US" w:eastAsia="zh-CN" w:bidi="ar"/>
        </w:rPr>
        <w:t>新型墙体材料专项基金及对应专项债务收入安排的支出</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i w:val="0"/>
          <w:color w:val="000000"/>
          <w:kern w:val="0"/>
          <w:sz w:val="32"/>
          <w:szCs w:val="32"/>
          <w:u w:val="none"/>
          <w:lang w:val="en-US" w:eastAsia="zh-CN" w:bidi="ar"/>
        </w:rPr>
        <w:t xml:space="preserve"> 其他新型墙体材料专项基金支出</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sz w:val="32"/>
          <w:szCs w:val="32"/>
          <w:lang w:eastAsia="zh-CN"/>
        </w:rPr>
        <w:t>用于</w:t>
      </w:r>
      <w:r>
        <w:rPr>
          <w:rFonts w:hint="eastAsia" w:ascii="仿宋_GB2312" w:hAnsi="仿宋_GB2312" w:eastAsia="仿宋_GB2312" w:cs="仿宋_GB2312"/>
          <w:i w:val="0"/>
          <w:color w:val="000000"/>
          <w:kern w:val="0"/>
          <w:sz w:val="32"/>
          <w:szCs w:val="32"/>
          <w:u w:val="none"/>
          <w:lang w:val="en-US" w:eastAsia="zh-CN" w:bidi="ar"/>
        </w:rPr>
        <w:t>其他新型墙体材料专项支出。</w:t>
      </w:r>
    </w:p>
    <w:p>
      <w:p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i w:val="0"/>
          <w:color w:val="000000"/>
          <w:kern w:val="0"/>
          <w:sz w:val="32"/>
          <w:szCs w:val="32"/>
          <w:u w:val="none"/>
          <w:lang w:val="en-US" w:eastAsia="zh-CN" w:bidi="ar"/>
        </w:rPr>
        <w:t>十三、住房保障支出</w:t>
      </w:r>
      <w:r>
        <w:rPr>
          <w:rFonts w:hint="eastAsia" w:ascii="仿宋_GB2312" w:hAnsi="仿宋_GB2312" w:eastAsia="仿宋_GB2312" w:cs="仿宋_GB2312"/>
          <w:b/>
          <w:bCs/>
          <w:sz w:val="32"/>
          <w:szCs w:val="32"/>
          <w:lang w:eastAsia="zh-CN"/>
        </w:rPr>
        <w:t>（类）</w:t>
      </w:r>
      <w:r>
        <w:rPr>
          <w:rFonts w:hint="eastAsia" w:ascii="仿宋_GB2312" w:hAnsi="仿宋_GB2312" w:eastAsia="仿宋_GB2312" w:cs="仿宋_GB2312"/>
          <w:b/>
          <w:bCs/>
          <w:i w:val="0"/>
          <w:color w:val="000000"/>
          <w:kern w:val="0"/>
          <w:sz w:val="32"/>
          <w:szCs w:val="32"/>
          <w:u w:val="none"/>
          <w:lang w:val="en-US" w:eastAsia="zh-CN" w:bidi="ar"/>
        </w:rPr>
        <w:t>保障性安居工程支出</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i w:val="0"/>
          <w:color w:val="000000"/>
          <w:kern w:val="0"/>
          <w:sz w:val="32"/>
          <w:szCs w:val="32"/>
          <w:u w:val="none"/>
          <w:lang w:val="en-US" w:eastAsia="zh-CN" w:bidi="ar"/>
        </w:rPr>
        <w:t>农村危房改造</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sz w:val="32"/>
          <w:szCs w:val="32"/>
          <w:lang w:eastAsia="zh-CN"/>
        </w:rPr>
        <w:t>用于农村危房建设支出。</w:t>
      </w:r>
    </w:p>
    <w:p>
      <w:pPr>
        <w:kinsoku w:val="0"/>
        <w:overflowPunct w:val="0"/>
        <w:autoSpaceDE w:val="0"/>
        <w:autoSpaceDN w:val="0"/>
        <w:adjustRightInd w:val="0"/>
        <w:snapToGrid w:val="0"/>
        <w:spacing w:line="360" w:lineRule="auto"/>
        <w:ind w:firstLine="643" w:firstLineChars="200"/>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32"/>
          <w:szCs w:val="32"/>
          <w:u w:val="none"/>
          <w:lang w:val="en-US" w:eastAsia="zh-CN" w:bidi="ar"/>
        </w:rPr>
        <w:t>十四、住房保障支出</w:t>
      </w:r>
      <w:r>
        <w:rPr>
          <w:rFonts w:hint="eastAsia" w:ascii="仿宋_GB2312" w:hAnsi="仿宋_GB2312" w:eastAsia="仿宋_GB2312" w:cs="仿宋_GB2312"/>
          <w:b/>
          <w:bCs/>
          <w:sz w:val="32"/>
          <w:szCs w:val="32"/>
          <w:lang w:eastAsia="zh-CN"/>
        </w:rPr>
        <w:t>（类）</w:t>
      </w:r>
      <w:r>
        <w:rPr>
          <w:rFonts w:hint="eastAsia" w:ascii="仿宋_GB2312" w:hAnsi="仿宋_GB2312" w:eastAsia="仿宋_GB2312" w:cs="仿宋_GB2312"/>
          <w:b/>
          <w:bCs/>
          <w:i w:val="0"/>
          <w:color w:val="000000"/>
          <w:kern w:val="0"/>
          <w:sz w:val="32"/>
          <w:szCs w:val="32"/>
          <w:u w:val="none"/>
          <w:lang w:val="en-US" w:eastAsia="zh-CN" w:bidi="ar"/>
        </w:rPr>
        <w:t>保障性安居工程支出</w:t>
      </w:r>
      <w:r>
        <w:rPr>
          <w:rFonts w:hint="eastAsia" w:ascii="仿宋_GB2312" w:hAnsi="仿宋_GB2312" w:eastAsia="仿宋_GB2312" w:cs="仿宋_GB2312"/>
          <w:b/>
          <w:bCs/>
          <w:sz w:val="32"/>
          <w:szCs w:val="32"/>
          <w:lang w:eastAsia="zh-CN"/>
        </w:rPr>
        <w:t>（款）</w:t>
      </w:r>
      <w:r>
        <w:rPr>
          <w:rFonts w:hint="eastAsia" w:ascii="仿宋_GB2312" w:hAnsi="仿宋_GB2312" w:eastAsia="仿宋_GB2312" w:cs="仿宋_GB2312"/>
          <w:b/>
          <w:bCs/>
          <w:i w:val="0"/>
          <w:color w:val="000000"/>
          <w:kern w:val="0"/>
          <w:sz w:val="32"/>
          <w:szCs w:val="32"/>
          <w:u w:val="none"/>
          <w:lang w:val="en-US" w:eastAsia="zh-CN" w:bidi="ar"/>
        </w:rPr>
        <w:t>公共租赁住房</w:t>
      </w:r>
      <w:r>
        <w:rPr>
          <w:rFonts w:hint="eastAsia" w:ascii="仿宋_GB2312" w:hAnsi="仿宋_GB2312" w:eastAsia="仿宋_GB2312" w:cs="仿宋_GB2312"/>
          <w:b/>
          <w:bCs/>
          <w:sz w:val="32"/>
          <w:szCs w:val="32"/>
          <w:lang w:eastAsia="zh-CN"/>
        </w:rPr>
        <w:t>（项）：</w:t>
      </w:r>
      <w:r>
        <w:rPr>
          <w:rFonts w:hint="eastAsia" w:ascii="仿宋_GB2312" w:hAnsi="仿宋_GB2312" w:eastAsia="仿宋_GB2312" w:cs="仿宋_GB2312"/>
          <w:sz w:val="32"/>
          <w:szCs w:val="32"/>
          <w:lang w:eastAsia="zh-CN"/>
        </w:rPr>
        <w:t>用于</w:t>
      </w:r>
      <w:r>
        <w:rPr>
          <w:rFonts w:hint="eastAsia" w:ascii="仿宋_GB2312" w:hAnsi="仿宋_GB2312" w:eastAsia="仿宋_GB2312" w:cs="仿宋_GB2312"/>
          <w:i w:val="0"/>
          <w:color w:val="000000"/>
          <w:kern w:val="0"/>
          <w:sz w:val="32"/>
          <w:szCs w:val="32"/>
          <w:u w:val="none"/>
          <w:lang w:val="en-US" w:eastAsia="zh-CN" w:bidi="ar"/>
        </w:rPr>
        <w:t>公共租赁住房的补贴支出。</w:t>
      </w:r>
    </w:p>
    <w:p>
      <w:pPr>
        <w:kinsoku w:val="0"/>
        <w:overflowPunct w:val="0"/>
        <w:autoSpaceDE w:val="0"/>
        <w:autoSpaceDN w:val="0"/>
        <w:adjustRightInd w:val="0"/>
        <w:snapToGrid w:val="0"/>
        <w:spacing w:line="360" w:lineRule="auto"/>
        <w:ind w:firstLine="643" w:firstLineChars="200"/>
        <w:jc w:val="left"/>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十五</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w:t>
      </w:r>
      <w:r>
        <w:rPr>
          <w:rFonts w:hint="eastAsia" w:ascii="仿宋_GB2312" w:hAnsi="宋体" w:eastAsia="仿宋_GB2312" w:cs="Courier New"/>
          <w:sz w:val="32"/>
          <w:szCs w:val="32"/>
          <w:lang w:eastAsia="zh-CN"/>
        </w:rPr>
        <w:t>县</w:t>
      </w:r>
      <w:r>
        <w:rPr>
          <w:rFonts w:hint="eastAsia" w:ascii="仿宋_GB2312" w:hAnsi="宋体" w:eastAsia="仿宋_GB2312" w:cs="Courier New"/>
          <w:sz w:val="32"/>
          <w:szCs w:val="32"/>
        </w:rPr>
        <w:t>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十六</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i w:val="0"/>
          <w:color w:val="000000"/>
          <w:kern w:val="0"/>
          <w:sz w:val="32"/>
          <w:szCs w:val="32"/>
          <w:u w:val="none"/>
          <w:lang w:val="en-US" w:eastAsia="zh-CN" w:bidi="ar"/>
        </w:rPr>
      </w:pPr>
    </w:p>
    <w:sectPr>
      <w:pgSz w:w="11906" w:h="16838"/>
      <w:pgMar w:top="1440" w:right="1531" w:bottom="1440" w:left="1587" w:header="850"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方正小标宋简体">
    <w:altName w:val="黑体"/>
    <w:panose1 w:val="02010601030101010101"/>
    <w:charset w:val="86"/>
    <w:family w:val="script"/>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Calibri Light">
    <w:altName w:val="PMingLiU"/>
    <w:panose1 w:val="020F0302020204030204"/>
    <w:charset w:val="00"/>
    <w:family w:val="roman"/>
    <w:pitch w:val="default"/>
    <w:sig w:usb0="00000000" w:usb1="00000000" w:usb2="00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Lucida Console"/>
    <w:panose1 w:val="02010609000101010101"/>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文星简超黑">
    <w:altName w:val="黑体"/>
    <w:panose1 w:val="02010609000101010101"/>
    <w:charset w:val="00"/>
    <w:family w:val="auto"/>
    <w:pitch w:val="default"/>
    <w:sig w:usb0="00000000" w:usb1="00000000" w:usb2="00000000" w:usb3="00000000" w:csb0="00000000" w:csb1="00000000"/>
  </w:font>
  <w:font w:name="文星简行草">
    <w:altName w:val="Lucida Console"/>
    <w:panose1 w:val="02010609000101010101"/>
    <w:charset w:val="00"/>
    <w:family w:val="auto"/>
    <w:pitch w:val="default"/>
    <w:sig w:usb0="00000000" w:usb1="00000000" w:usb2="00000000" w:usb3="00000000" w:csb0="00000000"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080E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文星简隶书">
    <w:altName w:val="宋体"/>
    <w:panose1 w:val="02010609000101010101"/>
    <w:charset w:val="00"/>
    <w:family w:val="auto"/>
    <w:pitch w:val="default"/>
    <w:sig w:usb0="00000000" w:usb1="00000000" w:usb2="00000000" w:usb3="00000000" w:csb0="00000000" w:csb1="00000000"/>
  </w:font>
  <w:font w:name="文星简魏体">
    <w:altName w:val="Lucida Console"/>
    <w:panose1 w:val="02010609000101010101"/>
    <w:charset w:val="00"/>
    <w:family w:val="auto"/>
    <w:pitch w:val="default"/>
    <w:sig w:usb0="00000000" w:usb1="00000000" w:usb2="00000000" w:usb3="00000000" w:csb0="00000000" w:csb1="00000000"/>
  </w:font>
  <w:font w:name="文星简黑变">
    <w:altName w:val="黑体"/>
    <w:panose1 w:val="02010609000101010101"/>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altName w:val="MingLiU"/>
    <w:panose1 w:val="03000509000000000000"/>
    <w:charset w:val="88"/>
    <w:family w:val="auto"/>
    <w:pitch w:val="default"/>
    <w:sig w:usb0="00000000" w:usb1="0000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altName w:val="Gulim"/>
    <w:panose1 w:val="020B0503020000020004"/>
    <w:charset w:val="81"/>
    <w:family w:val="auto"/>
    <w:pitch w:val="default"/>
    <w:sig w:usb0="00000000" w:usb1="00000000"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eiryo UI">
    <w:altName w:val="MS UI Gothic"/>
    <w:panose1 w:val="020B0604030504040204"/>
    <w:charset w:val="80"/>
    <w:family w:val="auto"/>
    <w:pitch w:val="default"/>
    <w:sig w:usb0="00000000" w:usb1="00000000" w:usb2="00010012" w:usb3="00000000" w:csb0="6002009F" w:csb1="DFD70000"/>
  </w:font>
  <w:font w:name="Microsoft JhengHei">
    <w:altName w:val="PMingLiU"/>
    <w:panose1 w:val="020B0604030504040204"/>
    <w:charset w:val="88"/>
    <w:family w:val="auto"/>
    <w:pitch w:val="default"/>
    <w:sig w:usb0="00000000" w:usb1="00000000" w:usb2="00000016" w:usb3="00000000" w:csb0="00100009" w:csb1="00000000"/>
  </w:font>
  <w:font w:name="MingLiU">
    <w:panose1 w:val="02020309000000000000"/>
    <w:charset w:val="88"/>
    <w:family w:val="auto"/>
    <w:pitch w:val="default"/>
    <w:sig w:usb0="00000003" w:usb1="082E0000" w:usb2="00000016" w:usb3="00000000" w:csb0="00100001" w:csb1="00000000"/>
  </w:font>
  <w:font w:name="MingLiU-ExtB">
    <w:altName w:val="PMingLiU"/>
    <w:panose1 w:val="02020500000000000000"/>
    <w:charset w:val="88"/>
    <w:family w:val="auto"/>
    <w:pitch w:val="default"/>
    <w:sig w:usb0="00000000" w:usb1="00000000" w:usb2="00000000" w:usb3="00000000" w:csb0="00100001" w:csb1="00000000"/>
  </w:font>
  <w:font w:name="MingLiU_HKSCS">
    <w:altName w:val="PMingLiU"/>
    <w:panose1 w:val="02020500000000000000"/>
    <w:charset w:val="88"/>
    <w:family w:val="auto"/>
    <w:pitch w:val="default"/>
    <w:sig w:usb0="00000000" w:usb1="0000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Mincho">
    <w:panose1 w:val="02020609040205080304"/>
    <w:charset w:val="80"/>
    <w:family w:val="auto"/>
    <w:pitch w:val="default"/>
    <w:sig w:usb0="A00002BF" w:usb1="68C7FCFB" w:usb2="00000010" w:usb3="00000000" w:csb0="4002009F" w:csb1="DFD70000"/>
  </w:font>
  <w:font w:name="AngsanaUPC">
    <w:altName w:val="Times New Roman"/>
    <w:panose1 w:val="02020603050405020304"/>
    <w:charset w:val="00"/>
    <w:family w:val="auto"/>
    <w:pitch w:val="default"/>
    <w:sig w:usb0="00000000" w:usb1="00000000" w:usb2="00000000" w:usb3="00000000" w:csb0="00010001"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Algerian">
    <w:altName w:val="Courier New"/>
    <w:panose1 w:val="04020705040A02060702"/>
    <w:charset w:val="00"/>
    <w:family w:val="auto"/>
    <w:pitch w:val="default"/>
    <w:sig w:usb0="00000000" w:usb1="00000000" w:usb2="00000000" w:usb3="00000000" w:csb0="20000001" w:csb1="00000000"/>
  </w:font>
  <w:font w:name="Aharoni">
    <w:altName w:val="Tahoma"/>
    <w:panose1 w:val="02010803020104030203"/>
    <w:charset w:val="00"/>
    <w:family w:val="auto"/>
    <w:pitch w:val="default"/>
    <w:sig w:usb0="00000000" w:usb1="00000000" w:usb2="00000000" w:usb3="00000000" w:csb0="00000020" w:csb1="00200000"/>
  </w:font>
  <w:font w:name="Agency FB">
    <w:altName w:val="Trebuchet MS"/>
    <w:panose1 w:val="020B0503020202020204"/>
    <w:charset w:val="00"/>
    <w:family w:val="auto"/>
    <w:pitch w:val="default"/>
    <w:sig w:usb0="00000000" w:usb1="00000000" w:usb2="00000000" w:usb3="00000000" w:csb0="20000001" w:csb1="00000000"/>
  </w:font>
  <w:font w:name="SimSun-ExtB">
    <w:altName w:val="宋体"/>
    <w:panose1 w:val="02010609060101010101"/>
    <w:charset w:val="86"/>
    <w:family w:val="auto"/>
    <w:pitch w:val="default"/>
    <w:sig w:usb0="00000000" w:usb1="00000000" w:usb2="00000000" w:usb3="00000000" w:csb0="00040001" w:csb1="00000000"/>
  </w:font>
  <w:font w:name="PMingLiU-ExtB">
    <w:altName w:val="PMingLiU"/>
    <w:panose1 w:val="02020500000000000000"/>
    <w:charset w:val="88"/>
    <w:family w:val="auto"/>
    <w:pitch w:val="default"/>
    <w:sig w:usb0="00000000" w:usb1="00000000" w:usb2="00000000" w:usb3="00000000" w:csb0="00100001" w:csb1="00000000"/>
  </w:font>
  <w:font w:name="PMingLiU">
    <w:panose1 w:val="02020300000000000000"/>
    <w:charset w:val="88"/>
    <w:family w:val="auto"/>
    <w:pitch w:val="default"/>
    <w:sig w:usb0="00000003" w:usb1="082E0000" w:usb2="00000016" w:usb3="00000000" w:csb0="00100001" w:csb1="00000000"/>
  </w:font>
  <w:font w:name="MS UI Gothic">
    <w:panose1 w:val="020B0600070205080204"/>
    <w:charset w:val="80"/>
    <w:family w:val="auto"/>
    <w:pitch w:val="default"/>
    <w:sig w:usb0="A00002BF" w:usb1="68C7FCFB" w:usb2="00000010" w:usb3="00000000" w:csb0="4002009F" w:csb1="DFD70000"/>
  </w:font>
  <w:font w:name="MS PMincho">
    <w:panose1 w:val="02020600040205080304"/>
    <w:charset w:val="80"/>
    <w:family w:val="auto"/>
    <w:pitch w:val="default"/>
    <w:sig w:usb0="A00002BF" w:usb1="68C7FCFB" w:usb2="00000010" w:usb3="00000000" w:csb0="4002009F" w:csb1="DFD70000"/>
  </w:font>
  <w:font w:name="MS Outlook">
    <w:panose1 w:val="05010100010000000000"/>
    <w:charset w:val="00"/>
    <w:family w:val="auto"/>
    <w:pitch w:val="default"/>
    <w:sig w:usb0="00000000" w:usb1="00000000" w:usb2="00000000" w:usb3="00000000" w:csb0="80000000" w:csb1="00000000"/>
  </w:font>
  <w:font w:name="Modern No. 20">
    <w:altName w:val="Bookman Old Style"/>
    <w:panose1 w:val="02070704070505020303"/>
    <w:charset w:val="00"/>
    <w:family w:val="auto"/>
    <w:pitch w:val="default"/>
    <w:sig w:usb0="00000000" w:usb1="00000000" w:usb2="00000000" w:usb3="00000000" w:csb0="20000001" w:csb1="00000000"/>
  </w:font>
  <w:font w:name="Miriam">
    <w:altName w:val="Gulim"/>
    <w:panose1 w:val="020B0502050101010101"/>
    <w:charset w:val="00"/>
    <w:family w:val="auto"/>
    <w:pitch w:val="default"/>
    <w:sig w:usb0="00000000" w:usb1="00000000" w:usb2="00000000" w:usb3="00000000" w:csb0="00000020" w:csb1="00200000"/>
  </w:font>
  <w:font w:name="Microsoft Uighur">
    <w:altName w:val="Verdana"/>
    <w:panose1 w:val="02000000000000000000"/>
    <w:charset w:val="00"/>
    <w:family w:val="auto"/>
    <w:pitch w:val="default"/>
    <w:sig w:usb0="00000000" w:usb1="00000000" w:usb2="00000008" w:usb3="00000000" w:csb0="00000041" w:csb1="00000000"/>
  </w:font>
  <w:font w:name="Microsoft PhagsPa">
    <w:altName w:val="Lucida Sans Unicode"/>
    <w:panose1 w:val="020B0502040204020203"/>
    <w:charset w:val="00"/>
    <w:family w:val="auto"/>
    <w:pitch w:val="default"/>
    <w:sig w:usb0="00000000" w:usb1="00000000" w:usb2="08000000" w:usb3="00000000" w:csb0="00000001" w:csb1="00000000"/>
  </w:font>
  <w:font w:name="Microsoft Himalaya">
    <w:altName w:val="Sylfaen"/>
    <w:panose1 w:val="01010100010101010101"/>
    <w:charset w:val="00"/>
    <w:family w:val="auto"/>
    <w:pitch w:val="default"/>
    <w:sig w:usb0="00000000" w:usb1="00000000" w:usb2="00000040" w:usb3="00000000" w:csb0="00000001" w:csb1="00000000"/>
  </w:font>
  <w:font w:name="Matura MT Script Capitals">
    <w:altName w:val="Monotype Corsiva"/>
    <w:panose1 w:val="03020802060602070202"/>
    <w:charset w:val="00"/>
    <w:family w:val="auto"/>
    <w:pitch w:val="default"/>
    <w:sig w:usb0="00000000" w:usb1="00000000" w:usb2="00000000" w:usb3="00000000" w:csb0="20000001" w:csb1="00000000"/>
  </w:font>
  <w:font w:name="文星简大黑">
    <w:altName w:val="黑体"/>
    <w:panose1 w:val="02010609000101010101"/>
    <w:charset w:val="00"/>
    <w:family w:val="auto"/>
    <w:pitch w:val="default"/>
    <w:sig w:usb0="00000000" w:usb1="00000000" w:usb2="00000000" w:usb3="00000000" w:csb0="00000000" w:csb1="00000000"/>
  </w:font>
  <w:font w:name="文星简中圆">
    <w:altName w:val="Lucida Console"/>
    <w:panose1 w:val="02010609000101010101"/>
    <w:charset w:val="00"/>
    <w:family w:val="auto"/>
    <w:pitch w:val="default"/>
    <w:sig w:usb0="00000000" w:usb1="00000000" w:usb2="00000000" w:usb3="00000000" w:csb0="00000000"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Lucida Console"/>
    <w:panose1 w:val="02010609000101010101"/>
    <w:charset w:val="00"/>
    <w:family w:val="auto"/>
    <w:pitch w:val="default"/>
    <w:sig w:usb0="00000000" w:usb1="00000000" w:usb2="00000000" w:usb3="00000000" w:csb0="00000000"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_GB2312"/>
    <w:panose1 w:val="02010604000101010101"/>
    <w:charset w:val="86"/>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000" w:usb1="00000000" w:usb2="00000000" w:usb3="00000000" w:csb0="0004009F" w:csb1="DFD70000"/>
  </w:font>
  <w:font w:name="文星简舒同">
    <w:altName w:val="Lucida Console"/>
    <w:panose1 w:val="02010609000101010101"/>
    <w:charset w:val="00"/>
    <w:family w:val="auto"/>
    <w:pitch w:val="default"/>
    <w:sig w:usb0="00000000" w:usb1="00000000" w:usb2="00000000" w:usb3="00000000" w:csb0="00000000" w:csb1="00000000"/>
  </w:font>
  <w:font w:name="文星简粗黑">
    <w:altName w:val="黑体"/>
    <w:panose1 w:val="02010609000101010101"/>
    <w:charset w:val="00"/>
    <w:family w:val="auto"/>
    <w:pitch w:val="default"/>
    <w:sig w:usb0="00000000" w:usb1="00000000" w:usb2="00000000" w:usb3="00000000" w:csb0="00000000" w:csb1="00000000"/>
  </w:font>
  <w:font w:name="文星简彩云">
    <w:altName w:val="Lucida Console"/>
    <w:panose1 w:val="02010609000101010101"/>
    <w:charset w:val="00"/>
    <w:family w:val="auto"/>
    <w:pitch w:val="default"/>
    <w:sig w:usb0="00000000" w:usb1="00000000" w:usb2="00000000" w:usb3="00000000" w:csb0="00000000" w:csb1="00000000"/>
  </w:font>
  <w:font w:name="文星简大标宋">
    <w:altName w:val="宋体"/>
    <w:panose1 w:val="02010609000101010101"/>
    <w:charset w:val="00"/>
    <w:family w:val="auto"/>
    <w:pitch w:val="default"/>
    <w:sig w:usb0="00000000" w:usb1="00000000" w:usb2="00000000" w:usb3="00000000" w:csb0="00000000" w:csb1="00000000"/>
  </w:font>
  <w:font w:name="文星简行楷">
    <w:altName w:val="宋体"/>
    <w:panose1 w:val="02010609000101010101"/>
    <w:charset w:val="00"/>
    <w:family w:val="auto"/>
    <w:pitch w:val="default"/>
    <w:sig w:usb0="00000000" w:usb1="00000000" w:usb2="00000000" w:usb3="00000000" w:csb0="00000000" w:csb1="00000000"/>
  </w:font>
  <w:font w:name="文星简综艺">
    <w:altName w:val="Lucida Console"/>
    <w:panose1 w:val="02010609000101010101"/>
    <w:charset w:val="00"/>
    <w:family w:val="auto"/>
    <w:pitch w:val="default"/>
    <w:sig w:usb0="00000000" w:usb1="00000000" w:usb2="00000000" w:usb3="00000000" w:csb0="00000000" w:csb1="00000000"/>
  </w:font>
  <w:font w:name="文星简美黑">
    <w:altName w:val="黑体"/>
    <w:panose1 w:val="02010609000101010101"/>
    <w:charset w:val="00"/>
    <w:family w:val="auto"/>
    <w:pitch w:val="default"/>
    <w:sig w:usb0="00000000" w:usb1="00000000" w:usb2="00000000" w:usb3="00000000" w:csb0="00000000" w:csb1="00000000"/>
  </w:font>
  <w:font w:name="文星简胖头鱼">
    <w:altName w:val="Lucida Console"/>
    <w:panose1 w:val="02010609000101010101"/>
    <w:charset w:val="00"/>
    <w:family w:val="auto"/>
    <w:pitch w:val="default"/>
    <w:sig w:usb0="00000000" w:usb1="00000000" w:usb2="00000000" w:usb3="00000000" w:csb0="00000000" w:csb1="00000000"/>
  </w:font>
  <w:font w:name="文星简楷宋">
    <w:altName w:val="宋体"/>
    <w:panose1 w:val="02010609000101010101"/>
    <w:charset w:val="00"/>
    <w:family w:val="auto"/>
    <w:pitch w:val="default"/>
    <w:sig w:usb0="00000000" w:usb1="00000000" w:usb2="00000000" w:usb3="00000000" w:csb0="00000000" w:csb1="00000000"/>
  </w:font>
  <w:font w:name="幼圆">
    <w:altName w:val="宋体"/>
    <w:panose1 w:val="02010509060101010101"/>
    <w:charset w:val="86"/>
    <w:family w:val="auto"/>
    <w:pitch w:val="default"/>
    <w:sig w:usb0="00000000" w:usb1="0000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0" w:usb2="00000000" w:usb3="00000000" w:csb0="2000009F" w:csb1="00000000"/>
  </w:font>
  <w:font w:name="Bookman Old Style">
    <w:panose1 w:val="02050604050505020204"/>
    <w:charset w:val="00"/>
    <w:family w:val="auto"/>
    <w:pitch w:val="default"/>
    <w:sig w:usb0="00000287" w:usb1="00000000" w:usb2="00000000" w:usb3="00000000" w:csb0="2000009F" w:csb1="DFD70000"/>
  </w:font>
  <w:font w:name="Verdana">
    <w:panose1 w:val="020B0604030504040204"/>
    <w:charset w:val="00"/>
    <w:family w:val="auto"/>
    <w:pitch w:val="default"/>
    <w:sig w:usb0="00000287" w:usb1="00000000"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Sylfaen">
    <w:panose1 w:val="010A0502050306030303"/>
    <w:charset w:val="00"/>
    <w:family w:val="auto"/>
    <w:pitch w:val="default"/>
    <w:sig w:usb0="04000687" w:usb1="00000000" w:usb2="00000000" w:usb3="00000000" w:csb0="2000009F" w:csb1="00000000"/>
  </w:font>
  <w:font w:name="Monotype Corsiva">
    <w:panose1 w:val="03010101010201010101"/>
    <w:charset w:val="00"/>
    <w:family w:val="auto"/>
    <w:pitch w:val="default"/>
    <w:sig w:usb0="00000287" w:usb1="00000000" w:usb2="00000000" w:usb3="00000000" w:csb0="2000009F" w:csb1="DFD70000"/>
  </w:font>
  <w:font w:name="Symbol">
    <w:panose1 w:val="05050102010706020507"/>
    <w:charset w:val="00"/>
    <w:family w:val="auto"/>
    <w:pitch w:val="default"/>
    <w:sig w:usb0="00000000" w:usb1="00000000" w:usb2="00000000" w:usb3="00000000" w:csb0="80000000" w:csb1="00000000"/>
  </w:font>
  <w:font w:name="宋体-PUA">
    <w:panose1 w:val="02010600030101010101"/>
    <w:charset w:val="86"/>
    <w:family w:val="auto"/>
    <w:pitch w:val="default"/>
    <w:sig w:usb0="00000000" w:usb1="10000000" w:usb2="00000000" w:usb3="00000000" w:csb0="00040000" w:csb1="00000000"/>
  </w:font>
  <w:font w:name="Mongolian Baiti">
    <w:altName w:val="Monotype Corsiva"/>
    <w:panose1 w:val="03000500000000000000"/>
    <w:charset w:val="00"/>
    <w:family w:val="auto"/>
    <w:pitch w:val="default"/>
    <w:sig w:usb0="00000000" w:usb1="00000000" w:usb2="00020000" w:usb3="00000000" w:csb0="00000001" w:csb1="00000000"/>
  </w:font>
  <w:font w:name="方正小标宋_GBK">
    <w:altName w:val="宋体"/>
    <w:panose1 w:val="03000509000000000000"/>
    <w:charset w:val="86"/>
    <w:family w:val="auto"/>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971BF59"/>
    <w:multiLevelType w:val="singleLevel"/>
    <w:tmpl w:val="5971BF59"/>
    <w:lvl w:ilvl="0" w:tentative="0">
      <w:start w:val="1"/>
      <w:numFmt w:val="chineseCounting"/>
      <w:suff w:val="nothing"/>
      <w:lvlText w:val="%1、"/>
      <w:lvlJc w:val="left"/>
      <w:pPr>
        <w:ind w:left="0" w:firstLine="420"/>
      </w:pPr>
      <w:rPr>
        <w:rFonts w:hint="eastAsia"/>
      </w:rPr>
    </w:lvl>
  </w:abstractNum>
  <w:abstractNum w:abstractNumId="2">
    <w:nsid w:val="5971C193"/>
    <w:multiLevelType w:val="singleLevel"/>
    <w:tmpl w:val="5971C193"/>
    <w:lvl w:ilvl="0" w:tentative="0">
      <w:start w:val="2"/>
      <w:numFmt w:val="chineseCounting"/>
      <w:suff w:val="nothing"/>
      <w:lvlText w:val="%1、"/>
      <w:lvlJc w:val="left"/>
    </w:lvl>
  </w:abstractNum>
  <w:abstractNum w:abstractNumId="3">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4">
    <w:nsid w:val="5971DBDD"/>
    <w:multiLevelType w:val="singleLevel"/>
    <w:tmpl w:val="5971DBDD"/>
    <w:lvl w:ilvl="0" w:tentative="0">
      <w:start w:val="1"/>
      <w:numFmt w:val="chineseCounting"/>
      <w:suff w:val="nothing"/>
      <w:lvlText w:val="（%1）"/>
      <w:lvlJc w:val="left"/>
      <w:pPr>
        <w:ind w:left="0" w:firstLine="420"/>
      </w:pPr>
      <w:rPr>
        <w:rFonts w:hint="eastAsia"/>
      </w:rPr>
    </w:lvl>
  </w:abstractNum>
  <w:abstractNum w:abstractNumId="5">
    <w:nsid w:val="5971E776"/>
    <w:multiLevelType w:val="singleLevel"/>
    <w:tmpl w:val="5971E776"/>
    <w:lvl w:ilvl="0" w:tentative="0">
      <w:start w:val="1"/>
      <w:numFmt w:val="chineseCounting"/>
      <w:suff w:val="nothing"/>
      <w:lvlText w:val="（%1）"/>
      <w:lvlJc w:val="left"/>
      <w:pPr>
        <w:ind w:left="0" w:firstLine="420"/>
      </w:pPr>
      <w:rPr>
        <w:rFonts w:hint="eastAsia"/>
      </w:rPr>
    </w:lvl>
  </w:abstractNum>
  <w:abstractNum w:abstractNumId="6">
    <w:nsid w:val="5971EDEF"/>
    <w:multiLevelType w:val="singleLevel"/>
    <w:tmpl w:val="5971EDEF"/>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5A03"/>
    <w:rsid w:val="001150B0"/>
    <w:rsid w:val="00172A27"/>
    <w:rsid w:val="002929B4"/>
    <w:rsid w:val="00554140"/>
    <w:rsid w:val="009108DE"/>
    <w:rsid w:val="00B458CF"/>
    <w:rsid w:val="00CD71F9"/>
    <w:rsid w:val="01DF12A0"/>
    <w:rsid w:val="04453648"/>
    <w:rsid w:val="047A55FF"/>
    <w:rsid w:val="05494AF0"/>
    <w:rsid w:val="05DB00B9"/>
    <w:rsid w:val="09BB2134"/>
    <w:rsid w:val="0CA434B9"/>
    <w:rsid w:val="0DEF0A58"/>
    <w:rsid w:val="0E4C156E"/>
    <w:rsid w:val="0F095976"/>
    <w:rsid w:val="10BD4691"/>
    <w:rsid w:val="11585E8B"/>
    <w:rsid w:val="15492582"/>
    <w:rsid w:val="15C57E26"/>
    <w:rsid w:val="17123CF5"/>
    <w:rsid w:val="18F44D57"/>
    <w:rsid w:val="1D415527"/>
    <w:rsid w:val="1E7D3B34"/>
    <w:rsid w:val="1E807916"/>
    <w:rsid w:val="1F400745"/>
    <w:rsid w:val="222B2F15"/>
    <w:rsid w:val="22A51050"/>
    <w:rsid w:val="283D43BA"/>
    <w:rsid w:val="28D6089B"/>
    <w:rsid w:val="29B70F08"/>
    <w:rsid w:val="2BA4769A"/>
    <w:rsid w:val="2CD06EF4"/>
    <w:rsid w:val="2F335194"/>
    <w:rsid w:val="30963758"/>
    <w:rsid w:val="325C1AE6"/>
    <w:rsid w:val="32EF40CE"/>
    <w:rsid w:val="339C36EB"/>
    <w:rsid w:val="34920D5F"/>
    <w:rsid w:val="35AB7798"/>
    <w:rsid w:val="369A520E"/>
    <w:rsid w:val="37243180"/>
    <w:rsid w:val="372974AC"/>
    <w:rsid w:val="37515EC2"/>
    <w:rsid w:val="39031F2B"/>
    <w:rsid w:val="3949702E"/>
    <w:rsid w:val="39F52D95"/>
    <w:rsid w:val="3B035C64"/>
    <w:rsid w:val="3BE408BA"/>
    <w:rsid w:val="3BE808CA"/>
    <w:rsid w:val="3C7F703B"/>
    <w:rsid w:val="3D70189E"/>
    <w:rsid w:val="40190B36"/>
    <w:rsid w:val="42271DDB"/>
    <w:rsid w:val="43910C0D"/>
    <w:rsid w:val="47F865A5"/>
    <w:rsid w:val="48B52937"/>
    <w:rsid w:val="48EE3EF3"/>
    <w:rsid w:val="49007E8E"/>
    <w:rsid w:val="4A4A04A3"/>
    <w:rsid w:val="4A9C5E75"/>
    <w:rsid w:val="4AAD123B"/>
    <w:rsid w:val="4C1E2F28"/>
    <w:rsid w:val="4CFC29CC"/>
    <w:rsid w:val="4D6E1856"/>
    <w:rsid w:val="4F9476D5"/>
    <w:rsid w:val="502C04C1"/>
    <w:rsid w:val="50AB36E0"/>
    <w:rsid w:val="51DE24AB"/>
    <w:rsid w:val="53883C75"/>
    <w:rsid w:val="55660464"/>
    <w:rsid w:val="5651051D"/>
    <w:rsid w:val="56EC004A"/>
    <w:rsid w:val="57E961A8"/>
    <w:rsid w:val="581E77CF"/>
    <w:rsid w:val="58B06254"/>
    <w:rsid w:val="5933604D"/>
    <w:rsid w:val="5A504866"/>
    <w:rsid w:val="5A9B3DC3"/>
    <w:rsid w:val="5AF25131"/>
    <w:rsid w:val="5C3D03A1"/>
    <w:rsid w:val="5DB37A7E"/>
    <w:rsid w:val="600176AC"/>
    <w:rsid w:val="60374862"/>
    <w:rsid w:val="64BA0A34"/>
    <w:rsid w:val="65332BB8"/>
    <w:rsid w:val="664A46E0"/>
    <w:rsid w:val="66755D81"/>
    <w:rsid w:val="6756022C"/>
    <w:rsid w:val="67DC1BCF"/>
    <w:rsid w:val="68A121F7"/>
    <w:rsid w:val="68A9241E"/>
    <w:rsid w:val="6B6D695A"/>
    <w:rsid w:val="6FD41D7F"/>
    <w:rsid w:val="72416639"/>
    <w:rsid w:val="738C1FE2"/>
    <w:rsid w:val="75531EF6"/>
    <w:rsid w:val="755C7629"/>
    <w:rsid w:val="75D0003D"/>
    <w:rsid w:val="764F7877"/>
    <w:rsid w:val="76D27115"/>
    <w:rsid w:val="7AA141FF"/>
    <w:rsid w:val="7C445B57"/>
    <w:rsid w:val="7D713C10"/>
    <w:rsid w:val="7E7745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黑体"/>
      <w:kern w:val="0"/>
      <w:sz w:val="24"/>
    </w:rPr>
  </w:style>
  <w:style w:type="character" w:customStyle="1" w:styleId="7">
    <w:name w:val="font31"/>
    <w:basedOn w:val="5"/>
    <w:qFormat/>
    <w:uiPriority w:val="0"/>
    <w:rPr>
      <w:rFonts w:ascii="Arial" w:hAnsi="Arial" w:cs="Arial"/>
      <w:color w:val="000000"/>
      <w:sz w:val="16"/>
      <w:szCs w:val="16"/>
      <w:u w:val="none"/>
    </w:rPr>
  </w:style>
  <w:style w:type="character" w:customStyle="1" w:styleId="8">
    <w:name w:val="font01"/>
    <w:basedOn w:val="5"/>
    <w:qFormat/>
    <w:uiPriority w:val="0"/>
    <w:rPr>
      <w:rFonts w:hint="default" w:ascii="Arial" w:hAnsi="Arial" w:cs="Arial"/>
      <w:color w:val="000000"/>
      <w:sz w:val="16"/>
      <w:szCs w:val="16"/>
      <w:u w:val="none"/>
    </w:rPr>
  </w:style>
  <w:style w:type="character" w:customStyle="1" w:styleId="9">
    <w:name w:val="font4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6913</Words>
  <Characters>10877</Characters>
  <Lines>109</Lines>
  <Paragraphs>30</Paragraphs>
  <ScaleCrop>false</ScaleCrop>
  <LinksUpToDate>false</LinksUpToDate>
  <CharactersWithSpaces>11159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2017-11-18T03:03:00Z</cp:lastPrinted>
  <dcterms:modified xsi:type="dcterms:W3CDTF">2018-01-09T04:14:05Z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