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文星标宋" w:hAnsi="文星标宋" w:eastAsia="文星标宋"/>
          <w:sz w:val="44"/>
          <w:szCs w:val="44"/>
        </w:rPr>
      </w:pPr>
      <w:bookmarkStart w:id="0" w:name="_GoBack"/>
      <w:r>
        <w:rPr>
          <w:rFonts w:hint="eastAsia" w:ascii="文星标宋" w:hAnsi="文星标宋" w:eastAsia="文星标宋"/>
          <w:sz w:val="44"/>
          <w:szCs w:val="44"/>
          <w:lang w:eastAsia="zh-CN"/>
        </w:rPr>
        <w:t>台前县</w:t>
      </w:r>
      <w:r>
        <w:rPr>
          <w:rFonts w:ascii="文星标宋" w:hAnsi="文星标宋" w:eastAsia="文星标宋"/>
          <w:sz w:val="44"/>
          <w:szCs w:val="44"/>
        </w:rPr>
        <w:t>政务公开工作考核表</w:t>
      </w:r>
      <w:bookmarkEnd w:id="0"/>
    </w:p>
    <w:p>
      <w:pPr>
        <w:keepNext w:val="0"/>
        <w:keepLines w:val="0"/>
        <w:pageBreakBefore w:val="0"/>
        <w:widowControl w:val="0"/>
        <w:kinsoku/>
        <w:wordWrap/>
        <w:overflowPunct/>
        <w:topLinePunct w:val="0"/>
        <w:autoSpaceDE/>
        <w:autoSpaceDN/>
        <w:bidi w:val="0"/>
        <w:adjustRightInd/>
        <w:snapToGrid w:val="0"/>
        <w:spacing w:before="407" w:beforeLines="130" w:after="407" w:afterLines="130" w:line="240" w:lineRule="auto"/>
        <w:ind w:left="0" w:leftChars="0" w:right="0" w:rightChars="0" w:firstLine="0" w:firstLineChars="0"/>
        <w:jc w:val="center"/>
        <w:textAlignment w:val="auto"/>
        <w:outlineLvl w:val="9"/>
        <w:rPr>
          <w:rFonts w:hint="eastAsia" w:ascii="楷体_GB2312" w:eastAsia="楷体_GB2312"/>
        </w:rPr>
      </w:pPr>
      <w:r>
        <w:rPr>
          <w:rFonts w:hint="eastAsia" w:ascii="楷体_GB2312" w:eastAsia="楷体_GB2312"/>
        </w:rPr>
        <w:t>（适用</w:t>
      </w:r>
      <w:r>
        <w:rPr>
          <w:rFonts w:hint="eastAsia" w:ascii="楷体_GB2312" w:eastAsia="楷体_GB2312"/>
          <w:lang w:eastAsia="zh-CN"/>
        </w:rPr>
        <w:t>乡</w:t>
      </w:r>
      <w:r>
        <w:rPr>
          <w:rFonts w:hint="eastAsia" w:ascii="楷体_GB2312" w:eastAsia="楷体_GB2312"/>
        </w:rPr>
        <w:t>﹝</w:t>
      </w:r>
      <w:r>
        <w:rPr>
          <w:rFonts w:hint="eastAsia" w:ascii="楷体_GB2312" w:eastAsia="楷体_GB2312"/>
          <w:lang w:eastAsia="zh-CN"/>
        </w:rPr>
        <w:t>镇</w:t>
      </w:r>
      <w:r>
        <w:rPr>
          <w:rFonts w:hint="eastAsia" w:ascii="楷体_GB2312" w:eastAsia="楷体_GB2312"/>
        </w:rPr>
        <w:t>﹞政府）</w:t>
      </w:r>
    </w:p>
    <w:tbl>
      <w:tblPr>
        <w:tblStyle w:val="3"/>
        <w:tblW w:w="8662" w:type="dxa"/>
        <w:tblInd w:w="93" w:type="dxa"/>
        <w:tblLayout w:type="fixed"/>
        <w:tblCellMar>
          <w:top w:w="0" w:type="dxa"/>
          <w:left w:w="108" w:type="dxa"/>
          <w:bottom w:w="0" w:type="dxa"/>
          <w:right w:w="108" w:type="dxa"/>
        </w:tblCellMar>
      </w:tblPr>
      <w:tblGrid>
        <w:gridCol w:w="724"/>
        <w:gridCol w:w="2126"/>
        <w:gridCol w:w="4924"/>
        <w:gridCol w:w="888"/>
      </w:tblGrid>
      <w:tr>
        <w:tblPrEx>
          <w:tblLayout w:type="fixed"/>
          <w:tblCellMar>
            <w:top w:w="0" w:type="dxa"/>
            <w:left w:w="108" w:type="dxa"/>
            <w:bottom w:w="0" w:type="dxa"/>
            <w:right w:w="108" w:type="dxa"/>
          </w:tblCellMar>
        </w:tblPrEx>
        <w:trPr>
          <w:trHeight w:val="300" w:hRule="atLeast"/>
        </w:trPr>
        <w:tc>
          <w:tcPr>
            <w:tcW w:w="724"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内容</w:t>
            </w:r>
          </w:p>
        </w:tc>
        <w:tc>
          <w:tcPr>
            <w:tcW w:w="2126" w:type="dxa"/>
            <w:tcBorders>
              <w:top w:val="single" w:color="auto" w:sz="8" w:space="0"/>
              <w:left w:val="nil"/>
              <w:bottom w:val="single" w:color="auto" w:sz="8"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一级指标</w:t>
            </w:r>
          </w:p>
        </w:tc>
        <w:tc>
          <w:tcPr>
            <w:tcW w:w="4924" w:type="dxa"/>
            <w:tcBorders>
              <w:top w:val="single" w:color="auto" w:sz="8" w:space="0"/>
              <w:left w:val="nil"/>
              <w:bottom w:val="single" w:color="auto" w:sz="8"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二级指标</w:t>
            </w:r>
          </w:p>
        </w:tc>
        <w:tc>
          <w:tcPr>
            <w:tcW w:w="888" w:type="dxa"/>
            <w:tcBorders>
              <w:top w:val="single" w:color="auto" w:sz="8" w:space="0"/>
              <w:left w:val="nil"/>
              <w:bottom w:val="single" w:color="auto" w:sz="8"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Layout w:type="fixed"/>
          <w:tblCellMar>
            <w:top w:w="0" w:type="dxa"/>
            <w:left w:w="108" w:type="dxa"/>
            <w:bottom w:w="0" w:type="dxa"/>
            <w:right w:w="108" w:type="dxa"/>
          </w:tblCellMar>
        </w:tblPrEx>
        <w:trPr>
          <w:trHeight w:val="300" w:hRule="atLeast"/>
        </w:trPr>
        <w:tc>
          <w:tcPr>
            <w:tcW w:w="724" w:type="dxa"/>
            <w:vMerge w:val="restart"/>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r>
              <w:rPr>
                <w:rFonts w:hint="eastAsia" w:ascii="仿宋_GB2312" w:hAnsi="宋体" w:cs="宋体"/>
                <w:color w:val="000000"/>
                <w:kern w:val="0"/>
                <w:sz w:val="24"/>
              </w:rPr>
              <w:t>组织领导</w:t>
            </w: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主要负责人亲自抓</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每年至少听取一次专题汇报，研究部署推进工作</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作为“第一新闻发言人”发布新闻、解读政策</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分管领导具体抓</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政务公开列入单位领导工作分工，并在</w:t>
            </w:r>
            <w:r>
              <w:rPr>
                <w:rFonts w:hint="eastAsia" w:ascii="仿宋_GB2312" w:hAnsi="宋体" w:cs="宋体"/>
                <w:color w:val="000000"/>
                <w:kern w:val="0"/>
                <w:sz w:val="24"/>
                <w:lang w:eastAsia="zh-CN"/>
              </w:rPr>
              <w:t>党务政务公开栏公示</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组织协调、指导推进、监督检查</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政务公开工作纳入本</w:t>
            </w:r>
            <w:r>
              <w:rPr>
                <w:rFonts w:hint="eastAsia" w:ascii="仿宋_GB2312" w:hAnsi="宋体" w:cs="宋体"/>
                <w:color w:val="000000"/>
                <w:kern w:val="0"/>
                <w:sz w:val="24"/>
                <w:lang w:eastAsia="zh-CN"/>
              </w:rPr>
              <w:t>乡</w:t>
            </w:r>
            <w:r>
              <w:rPr>
                <w:rFonts w:hint="eastAsia" w:ascii="仿宋_GB2312" w:hAnsi="宋体" w:cs="宋体"/>
                <w:color w:val="000000"/>
                <w:kern w:val="0"/>
                <w:sz w:val="24"/>
              </w:rPr>
              <w:t>（</w:t>
            </w:r>
            <w:r>
              <w:rPr>
                <w:rFonts w:hint="eastAsia" w:ascii="仿宋_GB2312" w:hAnsi="宋体" w:cs="宋体"/>
                <w:color w:val="000000"/>
                <w:kern w:val="0"/>
                <w:sz w:val="24"/>
                <w:lang w:eastAsia="zh-CN"/>
              </w:rPr>
              <w:t>镇</w:t>
            </w:r>
            <w:r>
              <w:rPr>
                <w:rFonts w:hint="eastAsia" w:ascii="仿宋_GB2312" w:hAnsi="宋体" w:cs="宋体"/>
                <w:color w:val="000000"/>
                <w:kern w:val="0"/>
                <w:sz w:val="24"/>
              </w:rPr>
              <w:t>）年度综合考评，所占分值权重不低于4%</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每年至少开展一次政务公开业务培训</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78"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对辖区内政务公开工作进行指导、监督、检查</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工作机构建设</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明确工作机构</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配齐配强专职工作人员</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加强经费保障</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restart"/>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r>
              <w:rPr>
                <w:rFonts w:hint="eastAsia" w:ascii="仿宋_GB2312" w:hAnsi="宋体" w:cs="宋体"/>
                <w:color w:val="000000"/>
                <w:kern w:val="0"/>
                <w:sz w:val="24"/>
              </w:rPr>
              <w:t>制度建设</w:t>
            </w:r>
          </w:p>
        </w:tc>
        <w:tc>
          <w:tcPr>
            <w:tcW w:w="2126"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政务公开协调机制</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成立政府领导负责，政府有关部门和宣传、保密等部门负责人为成员的领导小组</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585"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政府信息公开制度</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建立健全政府信息公开保密审查、主动公开、依申请公开、信息发布协调、年度报告、责任追究等制度</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机关工作制度</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将“五公开”要求落实到公文办理程序</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将“政策解读”要求落实到公文办理程序</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将“五公开”要求落实到会议办理程序</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政务舆情制度</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政务舆情监测、整理、报告、处置等工作制度</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483"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政务舆情收集、会商、研判、回应、评估机制</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重大舆情与宣传、网信等部门的快速反应和协调联动机制</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公众参与制度</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利用政务公开平台邀请公众参与的制度</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restart"/>
            <w:tcBorders>
              <w:top w:val="nil"/>
              <w:left w:val="single" w:color="auto" w:sz="8" w:space="0"/>
              <w:right w:val="single" w:color="auto" w:sz="8" w:space="0"/>
            </w:tcBorders>
            <w:textDirection w:val="tbRlV"/>
            <w:vAlign w:val="center"/>
          </w:tcPr>
          <w:p>
            <w:pPr>
              <w:widowControl/>
              <w:snapToGrid w:val="0"/>
              <w:jc w:val="center"/>
              <w:rPr>
                <w:rFonts w:ascii="仿宋_GB2312" w:hAnsi="宋体" w:cs="宋体"/>
                <w:color w:val="000000"/>
                <w:kern w:val="0"/>
                <w:sz w:val="24"/>
              </w:rPr>
            </w:pPr>
            <w:r>
              <w:rPr>
                <w:rFonts w:hint="eastAsia" w:ascii="仿宋_GB2312" w:hAnsi="宋体" w:cs="宋体"/>
                <w:color w:val="000000"/>
                <w:kern w:val="0"/>
                <w:sz w:val="24"/>
              </w:rPr>
              <w:t>平台建设</w:t>
            </w:r>
          </w:p>
        </w:tc>
        <w:tc>
          <w:tcPr>
            <w:tcW w:w="2126" w:type="dxa"/>
            <w:tcBorders>
              <w:top w:val="nil"/>
              <w:left w:val="single" w:color="auto" w:sz="8" w:space="0"/>
              <w:bottom w:val="single" w:color="auto" w:sz="8" w:space="0"/>
              <w:right w:val="single" w:color="auto" w:sz="8" w:space="0"/>
            </w:tcBorders>
            <w:vAlign w:val="center"/>
          </w:tcPr>
          <w:p>
            <w:pPr>
              <w:widowControl/>
              <w:snapToGrid w:val="0"/>
              <w:jc w:val="left"/>
              <w:rPr>
                <w:rFonts w:hint="eastAsia" w:ascii="仿宋_GB2312" w:hAnsi="宋体" w:eastAsia="仿宋_GB2312" w:cs="宋体"/>
                <w:color w:val="000000"/>
                <w:kern w:val="0"/>
                <w:sz w:val="24"/>
                <w:lang w:eastAsia="zh-CN"/>
              </w:rPr>
            </w:pPr>
            <w:r>
              <w:rPr>
                <w:rFonts w:hint="eastAsia" w:ascii="仿宋_GB2312" w:hAnsi="宋体" w:cs="宋体"/>
                <w:color w:val="000000"/>
                <w:kern w:val="0"/>
                <w:sz w:val="24"/>
                <w:lang w:eastAsia="zh-CN"/>
              </w:rPr>
              <w:t>政务公开栏建设</w:t>
            </w:r>
          </w:p>
        </w:tc>
        <w:tc>
          <w:tcPr>
            <w:tcW w:w="4924"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eastAsia="仿宋_GB2312" w:cs="宋体"/>
                <w:color w:val="000000"/>
                <w:kern w:val="0"/>
                <w:sz w:val="24"/>
                <w:lang w:eastAsia="zh-CN"/>
              </w:rPr>
            </w:pPr>
            <w:r>
              <w:rPr>
                <w:rFonts w:hint="eastAsia" w:ascii="仿宋_GB2312" w:hAnsi="宋体" w:cs="宋体"/>
                <w:color w:val="000000"/>
                <w:kern w:val="0"/>
                <w:sz w:val="24"/>
              </w:rPr>
              <w:t>政务公开栏建设符合要求，内容及时更新。</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restart"/>
            <w:tcBorders>
              <w:top w:val="nil"/>
              <w:left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lang w:eastAsia="zh-CN"/>
              </w:rPr>
              <w:t>群众来信办理</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lang w:eastAsia="zh-CN"/>
              </w:rPr>
              <w:t>县</w:t>
            </w:r>
            <w:r>
              <w:rPr>
                <w:rFonts w:hint="eastAsia" w:ascii="仿宋_GB2312" w:hAnsi="宋体" w:cs="宋体"/>
                <w:color w:val="000000"/>
                <w:kern w:val="0"/>
                <w:sz w:val="24"/>
              </w:rPr>
              <w:t>政府门户网站群众来信办理情况</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规范运行</w:t>
            </w:r>
            <w:r>
              <w:rPr>
                <w:rFonts w:hint="eastAsia" w:ascii="仿宋_GB2312" w:hAnsi="宋体" w:cs="宋体"/>
                <w:color w:val="000000"/>
                <w:kern w:val="0"/>
                <w:sz w:val="24"/>
                <w:lang w:eastAsia="zh-CN"/>
              </w:rPr>
              <w:t>乡</w:t>
            </w:r>
            <w:r>
              <w:rPr>
                <w:rFonts w:hint="eastAsia" w:ascii="仿宋_GB2312" w:hAnsi="宋体" w:cs="宋体"/>
                <w:color w:val="000000"/>
                <w:kern w:val="0"/>
                <w:sz w:val="24"/>
              </w:rPr>
              <w:t>（</w:t>
            </w:r>
            <w:r>
              <w:rPr>
                <w:rFonts w:hint="eastAsia" w:ascii="仿宋_GB2312" w:hAnsi="宋体" w:cs="宋体"/>
                <w:color w:val="000000"/>
                <w:kern w:val="0"/>
                <w:sz w:val="24"/>
                <w:lang w:eastAsia="zh-CN"/>
              </w:rPr>
              <w:t>镇</w:t>
            </w:r>
            <w:r>
              <w:rPr>
                <w:rFonts w:hint="eastAsia" w:ascii="仿宋_GB2312" w:hAnsi="宋体" w:cs="宋体"/>
                <w:color w:val="000000"/>
                <w:kern w:val="0"/>
                <w:sz w:val="24"/>
              </w:rPr>
              <w:t>）长</w:t>
            </w:r>
            <w:r>
              <w:rPr>
                <w:rFonts w:hint="eastAsia" w:ascii="仿宋_GB2312" w:hAnsi="宋体" w:cs="宋体"/>
                <w:color w:val="000000"/>
                <w:kern w:val="0"/>
                <w:sz w:val="24"/>
                <w:lang w:eastAsia="zh-CN"/>
              </w:rPr>
              <w:t>热线</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520" w:hRule="atLeast"/>
        </w:trPr>
        <w:tc>
          <w:tcPr>
            <w:tcW w:w="724" w:type="dxa"/>
            <w:vMerge w:val="continue"/>
            <w:tcBorders>
              <w:left w:val="single" w:color="auto" w:sz="8" w:space="0"/>
              <w:right w:val="single" w:color="auto" w:sz="8" w:space="0"/>
            </w:tcBorders>
            <w:vAlign w:val="center"/>
          </w:tcPr>
          <w:p>
            <w:pPr>
              <w:widowControl/>
              <w:snapToGrid w:val="0"/>
              <w:jc w:val="center"/>
              <w:rPr>
                <w:rFonts w:ascii="仿宋_GB2312" w:hAnsi="宋体" w:cs="宋体"/>
                <w:color w:val="000000"/>
                <w:kern w:val="0"/>
                <w:sz w:val="24"/>
              </w:rPr>
            </w:pPr>
          </w:p>
        </w:tc>
        <w:tc>
          <w:tcPr>
            <w:tcW w:w="2126" w:type="dxa"/>
            <w:tcBorders>
              <w:top w:val="single" w:color="auto" w:sz="4" w:space="0"/>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新媒体平台建设</w:t>
            </w:r>
          </w:p>
        </w:tc>
        <w:tc>
          <w:tcPr>
            <w:tcW w:w="4924" w:type="dxa"/>
            <w:tcBorders>
              <w:top w:val="single" w:color="auto" w:sz="4" w:space="0"/>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政务微博、微信、客户端建设</w:t>
            </w:r>
          </w:p>
        </w:tc>
        <w:tc>
          <w:tcPr>
            <w:tcW w:w="888" w:type="dxa"/>
            <w:tcBorders>
              <w:top w:val="single" w:color="auto" w:sz="4" w:space="0"/>
              <w:left w:val="nil"/>
              <w:bottom w:val="single" w:color="auto" w:sz="8" w:space="0"/>
              <w:right w:val="single" w:color="auto" w:sz="8" w:space="0"/>
            </w:tcBorders>
            <w:vAlign w:val="center"/>
          </w:tcPr>
          <w:p>
            <w:pPr>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546" w:hRule="atLeast"/>
        </w:trPr>
        <w:tc>
          <w:tcPr>
            <w:tcW w:w="724" w:type="dxa"/>
            <w:vMerge w:val="continue"/>
            <w:tcBorders>
              <w:left w:val="single" w:color="auto" w:sz="8" w:space="0"/>
              <w:bottom w:val="nil"/>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tcBorders>
              <w:top w:val="nil"/>
              <w:left w:val="nil"/>
              <w:bottom w:val="nil"/>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政府信息查阅场所</w:t>
            </w:r>
          </w:p>
        </w:tc>
        <w:tc>
          <w:tcPr>
            <w:tcW w:w="4924" w:type="dxa"/>
            <w:tcBorders>
              <w:top w:val="nil"/>
              <w:left w:val="nil"/>
              <w:bottom w:val="nil"/>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在档案馆、行政服务中心或公共图书馆设置政府信息查阅场所</w:t>
            </w:r>
          </w:p>
        </w:tc>
        <w:tc>
          <w:tcPr>
            <w:tcW w:w="888" w:type="dxa"/>
            <w:tcBorders>
              <w:top w:val="nil"/>
              <w:left w:val="nil"/>
              <w:bottom w:val="nil"/>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546" w:hRule="atLeast"/>
        </w:trPr>
        <w:tc>
          <w:tcPr>
            <w:tcW w:w="724" w:type="dxa"/>
            <w:tcBorders>
              <w:top w:val="nil"/>
              <w:left w:val="nil"/>
              <w:bottom w:val="nil"/>
              <w:right w:val="nil"/>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tcBorders>
              <w:top w:val="nil"/>
              <w:left w:val="nil"/>
              <w:bottom w:val="nil"/>
              <w:right w:val="nil"/>
            </w:tcBorders>
            <w:vAlign w:val="center"/>
          </w:tcPr>
          <w:p>
            <w:pPr>
              <w:widowControl/>
              <w:snapToGrid w:val="0"/>
              <w:jc w:val="left"/>
              <w:rPr>
                <w:rFonts w:hint="eastAsia" w:ascii="仿宋_GB2312" w:hAnsi="宋体" w:cs="宋体"/>
                <w:color w:val="000000"/>
                <w:kern w:val="0"/>
                <w:sz w:val="24"/>
              </w:rPr>
            </w:pPr>
          </w:p>
        </w:tc>
        <w:tc>
          <w:tcPr>
            <w:tcW w:w="4924" w:type="dxa"/>
            <w:tcBorders>
              <w:top w:val="nil"/>
              <w:left w:val="nil"/>
              <w:bottom w:val="nil"/>
              <w:right w:val="nil"/>
            </w:tcBorders>
            <w:vAlign w:val="center"/>
          </w:tcPr>
          <w:p>
            <w:pPr>
              <w:widowControl/>
              <w:snapToGrid w:val="0"/>
              <w:jc w:val="left"/>
              <w:rPr>
                <w:rFonts w:hint="eastAsia" w:ascii="仿宋_GB2312" w:hAnsi="宋体" w:cs="宋体"/>
                <w:color w:val="000000"/>
                <w:kern w:val="0"/>
                <w:sz w:val="24"/>
              </w:rPr>
            </w:pPr>
          </w:p>
        </w:tc>
        <w:tc>
          <w:tcPr>
            <w:tcW w:w="888" w:type="dxa"/>
            <w:tcBorders>
              <w:top w:val="nil"/>
              <w:left w:val="nil"/>
              <w:bottom w:val="nil"/>
              <w:right w:val="nil"/>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546" w:hRule="atLeast"/>
        </w:trPr>
        <w:tc>
          <w:tcPr>
            <w:tcW w:w="724" w:type="dxa"/>
            <w:tcBorders>
              <w:top w:val="nil"/>
              <w:left w:val="nil"/>
              <w:bottom w:val="nil"/>
              <w:right w:val="nil"/>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tcBorders>
              <w:top w:val="nil"/>
              <w:left w:val="nil"/>
              <w:bottom w:val="nil"/>
              <w:right w:val="nil"/>
            </w:tcBorders>
            <w:vAlign w:val="center"/>
          </w:tcPr>
          <w:p>
            <w:pPr>
              <w:widowControl/>
              <w:snapToGrid w:val="0"/>
              <w:jc w:val="left"/>
              <w:rPr>
                <w:rFonts w:hint="eastAsia" w:ascii="仿宋_GB2312" w:hAnsi="宋体" w:cs="宋体"/>
                <w:color w:val="000000"/>
                <w:kern w:val="0"/>
                <w:sz w:val="24"/>
              </w:rPr>
            </w:pPr>
          </w:p>
          <w:p>
            <w:pPr>
              <w:widowControl/>
              <w:snapToGrid w:val="0"/>
              <w:jc w:val="left"/>
              <w:rPr>
                <w:rFonts w:hint="eastAsia" w:ascii="仿宋_GB2312" w:hAnsi="宋体" w:cs="宋体"/>
                <w:color w:val="000000"/>
                <w:kern w:val="0"/>
                <w:sz w:val="24"/>
              </w:rPr>
            </w:pPr>
          </w:p>
          <w:p>
            <w:pPr>
              <w:widowControl/>
              <w:snapToGrid w:val="0"/>
              <w:jc w:val="left"/>
              <w:rPr>
                <w:rFonts w:hint="eastAsia" w:ascii="仿宋_GB2312" w:hAnsi="宋体" w:cs="宋体"/>
                <w:color w:val="000000"/>
                <w:kern w:val="0"/>
                <w:sz w:val="24"/>
              </w:rPr>
            </w:pPr>
          </w:p>
          <w:p>
            <w:pPr>
              <w:widowControl/>
              <w:snapToGrid w:val="0"/>
              <w:jc w:val="left"/>
              <w:rPr>
                <w:rFonts w:hint="eastAsia" w:ascii="仿宋_GB2312" w:hAnsi="宋体" w:cs="宋体"/>
                <w:color w:val="000000"/>
                <w:kern w:val="0"/>
                <w:sz w:val="24"/>
              </w:rPr>
            </w:pPr>
          </w:p>
        </w:tc>
        <w:tc>
          <w:tcPr>
            <w:tcW w:w="4924" w:type="dxa"/>
            <w:tcBorders>
              <w:top w:val="nil"/>
              <w:left w:val="nil"/>
              <w:bottom w:val="nil"/>
              <w:right w:val="nil"/>
            </w:tcBorders>
            <w:vAlign w:val="center"/>
          </w:tcPr>
          <w:p>
            <w:pPr>
              <w:widowControl/>
              <w:snapToGrid w:val="0"/>
              <w:jc w:val="left"/>
              <w:rPr>
                <w:rFonts w:hint="eastAsia" w:ascii="仿宋_GB2312" w:hAnsi="宋体" w:cs="宋体"/>
                <w:color w:val="000000"/>
                <w:kern w:val="0"/>
                <w:sz w:val="24"/>
              </w:rPr>
            </w:pPr>
          </w:p>
        </w:tc>
        <w:tc>
          <w:tcPr>
            <w:tcW w:w="888" w:type="dxa"/>
            <w:tcBorders>
              <w:top w:val="nil"/>
              <w:left w:val="nil"/>
              <w:bottom w:val="nil"/>
              <w:right w:val="nil"/>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284" w:hRule="atLeast"/>
        </w:trPr>
        <w:tc>
          <w:tcPr>
            <w:tcW w:w="724" w:type="dxa"/>
            <w:tcBorders>
              <w:top w:val="nil"/>
              <w:left w:val="single" w:color="auto" w:sz="8" w:space="0"/>
              <w:bottom w:val="single" w:color="auto" w:sz="4"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内容</w:t>
            </w:r>
          </w:p>
        </w:tc>
        <w:tc>
          <w:tcPr>
            <w:tcW w:w="2126" w:type="dxa"/>
            <w:tcBorders>
              <w:top w:val="nil"/>
              <w:left w:val="nil"/>
              <w:bottom w:val="single" w:color="auto" w:sz="4"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一级指标</w:t>
            </w:r>
          </w:p>
        </w:tc>
        <w:tc>
          <w:tcPr>
            <w:tcW w:w="4924" w:type="dxa"/>
            <w:tcBorders>
              <w:top w:val="nil"/>
              <w:left w:val="nil"/>
              <w:bottom w:val="single" w:color="auto" w:sz="4"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二级指标</w:t>
            </w:r>
          </w:p>
        </w:tc>
        <w:tc>
          <w:tcPr>
            <w:tcW w:w="888" w:type="dxa"/>
            <w:tcBorders>
              <w:top w:val="nil"/>
              <w:left w:val="nil"/>
              <w:bottom w:val="single" w:color="auto" w:sz="4"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Layout w:type="fixed"/>
          <w:tblCellMar>
            <w:top w:w="0" w:type="dxa"/>
            <w:left w:w="108" w:type="dxa"/>
            <w:bottom w:w="0" w:type="dxa"/>
            <w:right w:w="108" w:type="dxa"/>
          </w:tblCellMar>
        </w:tblPrEx>
        <w:trPr>
          <w:trHeight w:val="300" w:hRule="atLeast"/>
        </w:trPr>
        <w:tc>
          <w:tcPr>
            <w:tcW w:w="724" w:type="dxa"/>
            <w:vMerge w:val="restart"/>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r>
              <w:rPr>
                <w:rFonts w:hint="eastAsia" w:ascii="仿宋_GB2312" w:hAnsi="宋体" w:cs="宋体"/>
                <w:color w:val="000000"/>
                <w:kern w:val="0"/>
                <w:sz w:val="24"/>
              </w:rPr>
              <w:t>政府信息公开</w:t>
            </w: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主动公开</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编制、发布并及时更新政府信息公开指南、目录及年报</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85"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重点领域信息公开</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20个工作日内及时、准确、全面主动公开属于主动公开范围的政府信息</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64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及时向档案馆、行政服务中心或公共图书馆提供主动公开的政府信息</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83"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依申请公开</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依申请公开政府信息渠道畅通</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416"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依法依规办理政府信息公开申请</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471"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依法办理相关投诉并应对相关复议、诉讼</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585"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公开属性变更</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每年自查不予公开的信息以及依申请公开较为集中的信息，对应主动公开、可转为主动公开的应当主动公开</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683" w:hRule="atLeast"/>
        </w:trPr>
        <w:tc>
          <w:tcPr>
            <w:tcW w:w="724" w:type="dxa"/>
            <w:vMerge w:val="restart"/>
            <w:tcBorders>
              <w:top w:val="single" w:color="auto" w:sz="4" w:space="0"/>
              <w:left w:val="single" w:color="auto" w:sz="8" w:space="0"/>
              <w:right w:val="single" w:color="auto" w:sz="8" w:space="0"/>
            </w:tcBorders>
            <w:textDirection w:val="tbRlV"/>
            <w:vAlign w:val="center"/>
          </w:tcPr>
          <w:p>
            <w:pPr>
              <w:snapToGrid w:val="0"/>
              <w:ind w:left="113" w:right="113"/>
              <w:jc w:val="center"/>
              <w:rPr>
                <w:rFonts w:ascii="仿宋_GB2312" w:hAnsi="宋体" w:cs="宋体"/>
                <w:color w:val="000000"/>
                <w:kern w:val="0"/>
                <w:sz w:val="24"/>
              </w:rPr>
            </w:pPr>
            <w:r>
              <w:rPr>
                <w:rFonts w:hint="eastAsia" w:ascii="仿宋_GB2312" w:hAnsi="宋体" w:cs="宋体"/>
                <w:color w:val="000000"/>
                <w:kern w:val="0"/>
                <w:sz w:val="24"/>
              </w:rPr>
              <w:t>政策解读</w:t>
            </w: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解读渠道多样、畅通</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门户网站设置政策解读专栏且栏目内政策解读信息与相应的政策文件可相互链接</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702" w:hRule="atLeast"/>
        </w:trPr>
        <w:tc>
          <w:tcPr>
            <w:tcW w:w="724" w:type="dxa"/>
            <w:vMerge w:val="continue"/>
            <w:tcBorders>
              <w:left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举办新闻发布会等、广播电视等有政策解读和评论报道</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通过新媒体解读</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解读主体权威、多元</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主要负责人参加新闻发布会、接受采访、发表文章</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263" w:hRule="atLeast"/>
        </w:trPr>
        <w:tc>
          <w:tcPr>
            <w:tcW w:w="724" w:type="dxa"/>
            <w:vMerge w:val="continue"/>
            <w:tcBorders>
              <w:left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政策解读和评论员队伍建设</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421" w:hRule="atLeast"/>
        </w:trPr>
        <w:tc>
          <w:tcPr>
            <w:tcW w:w="724" w:type="dxa"/>
            <w:vMerge w:val="continue"/>
            <w:tcBorders>
              <w:left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专家、学者和政策起草者接受采访、发表文章</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vAlign w:val="center"/>
          </w:tcPr>
          <w:p>
            <w:pPr>
              <w:widowControl/>
              <w:snapToGrid w:val="0"/>
              <w:jc w:val="center"/>
              <w:rPr>
                <w:rFonts w:hint="eastAsia" w:ascii="仿宋_GB2312" w:hAnsi="宋体" w:cs="宋体"/>
                <w:color w:val="000000"/>
                <w:kern w:val="0"/>
                <w:sz w:val="24"/>
              </w:rPr>
            </w:pPr>
          </w:p>
        </w:tc>
        <w:tc>
          <w:tcPr>
            <w:tcW w:w="2126" w:type="dxa"/>
            <w:vMerge w:val="restart"/>
            <w:tcBorders>
              <w:top w:val="nil"/>
              <w:left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解读实效</w:t>
            </w:r>
          </w:p>
        </w:tc>
        <w:tc>
          <w:tcPr>
            <w:tcW w:w="4924"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部门起草经政府常务会议研究通过，以县政府名义印发的政策性文件全部解读</w:t>
            </w:r>
          </w:p>
        </w:tc>
        <w:tc>
          <w:tcPr>
            <w:tcW w:w="888"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vAlign w:val="center"/>
          </w:tcPr>
          <w:p>
            <w:pPr>
              <w:widowControl/>
              <w:snapToGrid w:val="0"/>
              <w:jc w:val="center"/>
              <w:rPr>
                <w:rFonts w:hint="eastAsia" w:ascii="仿宋_GB2312" w:hAnsi="宋体" w:cs="宋体"/>
                <w:color w:val="000000"/>
                <w:kern w:val="0"/>
                <w:sz w:val="24"/>
              </w:rPr>
            </w:pPr>
          </w:p>
        </w:tc>
        <w:tc>
          <w:tcPr>
            <w:tcW w:w="2126" w:type="dxa"/>
            <w:vMerge w:val="continue"/>
            <w:tcBorders>
              <w:left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准确、生动、易懂、易传播</w:t>
            </w:r>
          </w:p>
        </w:tc>
        <w:tc>
          <w:tcPr>
            <w:tcW w:w="888"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bottom w:val="single" w:color="auto" w:sz="8" w:space="0"/>
              <w:right w:val="single" w:color="auto" w:sz="8" w:space="0"/>
            </w:tcBorders>
            <w:vAlign w:val="center"/>
          </w:tcPr>
          <w:p>
            <w:pPr>
              <w:widowControl/>
              <w:snapToGrid w:val="0"/>
              <w:jc w:val="center"/>
              <w:rPr>
                <w:rFonts w:hint="eastAsia" w:ascii="仿宋_GB2312" w:hAnsi="宋体" w:cs="宋体"/>
                <w:color w:val="000000"/>
                <w:kern w:val="0"/>
                <w:sz w:val="24"/>
              </w:rPr>
            </w:pPr>
          </w:p>
        </w:tc>
        <w:tc>
          <w:tcPr>
            <w:tcW w:w="2126" w:type="dxa"/>
            <w:vMerge w:val="continue"/>
            <w:tcBorders>
              <w:left w:val="single" w:color="auto" w:sz="8" w:space="0"/>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多类型媒体协调联动扩大解读影响</w:t>
            </w:r>
          </w:p>
        </w:tc>
        <w:tc>
          <w:tcPr>
            <w:tcW w:w="888"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hint="eastAsia" w:ascii="仿宋_GB2312" w:hAnsi="宋体" w:cs="宋体"/>
                <w:color w:val="000000"/>
                <w:kern w:val="0"/>
                <w:sz w:val="24"/>
              </w:rPr>
            </w:pPr>
            <w:r>
              <w:rPr>
                <w:rFonts w:hint="eastAsia" w:ascii="仿宋_GB2312" w:hAnsi="宋体" w:cs="宋体"/>
                <w:color w:val="000000"/>
                <w:kern w:val="0"/>
                <w:sz w:val="24"/>
              </w:rPr>
              <w:t>政务舆情</w:t>
            </w:r>
          </w:p>
          <w:p>
            <w:pPr>
              <w:widowControl/>
              <w:snapToGrid w:val="0"/>
              <w:jc w:val="center"/>
              <w:rPr>
                <w:rFonts w:ascii="仿宋_GB2312" w:hAnsi="宋体" w:cs="宋体"/>
                <w:color w:val="000000"/>
                <w:kern w:val="0"/>
                <w:sz w:val="24"/>
              </w:rPr>
            </w:pPr>
            <w:r>
              <w:rPr>
                <w:rFonts w:hint="eastAsia" w:ascii="仿宋_GB2312" w:hAnsi="宋体" w:cs="宋体"/>
                <w:color w:val="000000"/>
                <w:kern w:val="0"/>
                <w:sz w:val="24"/>
              </w:rPr>
              <w:t>监测处置</w:t>
            </w:r>
          </w:p>
        </w:tc>
        <w:tc>
          <w:tcPr>
            <w:tcW w:w="2126"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日常监测</w:t>
            </w:r>
          </w:p>
        </w:tc>
        <w:tc>
          <w:tcPr>
            <w:tcW w:w="4924"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政务舆情收集、研判、报告工作有效（领导批示认可）</w:t>
            </w:r>
          </w:p>
        </w:tc>
        <w:tc>
          <w:tcPr>
            <w:tcW w:w="888"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475" w:hRule="atLeast"/>
        </w:trPr>
        <w:tc>
          <w:tcPr>
            <w:tcW w:w="724" w:type="dxa"/>
            <w:vMerge w:val="continue"/>
            <w:tcBorders>
              <w:top w:val="single" w:color="auto" w:sz="8" w:space="0"/>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政务舆情函件处理及时、效果良好</w:t>
            </w:r>
          </w:p>
        </w:tc>
        <w:tc>
          <w:tcPr>
            <w:tcW w:w="888"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585" w:hRule="atLeast"/>
        </w:trPr>
        <w:tc>
          <w:tcPr>
            <w:tcW w:w="724" w:type="dxa"/>
            <w:vMerge w:val="continue"/>
            <w:tcBorders>
              <w:top w:val="single" w:color="auto" w:sz="8" w:space="0"/>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热点回应</w:t>
            </w:r>
          </w:p>
        </w:tc>
        <w:tc>
          <w:tcPr>
            <w:tcW w:w="4924"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时效性。24小时内回应。对涉及特别重大、突发事件，最迟要在5小时内发布权威信息，在24小时内举行新闻发布会</w:t>
            </w:r>
          </w:p>
        </w:tc>
        <w:tc>
          <w:tcPr>
            <w:tcW w:w="888"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585" w:hRule="atLeast"/>
        </w:trPr>
        <w:tc>
          <w:tcPr>
            <w:tcW w:w="724" w:type="dxa"/>
            <w:tcBorders>
              <w:top w:val="single" w:color="auto" w:sz="8" w:space="0"/>
              <w:left w:val="nil"/>
              <w:bottom w:val="nil"/>
              <w:right w:val="nil"/>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tcBorders>
              <w:top w:val="single" w:color="auto" w:sz="8" w:space="0"/>
              <w:left w:val="nil"/>
              <w:bottom w:val="nil"/>
              <w:right w:val="nil"/>
            </w:tcBorders>
            <w:vAlign w:val="center"/>
          </w:tcPr>
          <w:p>
            <w:pPr>
              <w:widowControl/>
              <w:snapToGrid w:val="0"/>
              <w:jc w:val="left"/>
              <w:rPr>
                <w:rFonts w:hint="eastAsia" w:ascii="仿宋_GB2312" w:hAnsi="宋体" w:cs="宋体"/>
                <w:color w:val="000000"/>
                <w:kern w:val="0"/>
                <w:sz w:val="24"/>
              </w:rPr>
            </w:pPr>
          </w:p>
          <w:p>
            <w:pPr>
              <w:widowControl/>
              <w:snapToGrid w:val="0"/>
              <w:jc w:val="left"/>
              <w:rPr>
                <w:rFonts w:hint="eastAsia" w:ascii="仿宋_GB2312" w:hAnsi="宋体" w:cs="宋体"/>
                <w:color w:val="000000"/>
                <w:kern w:val="0"/>
                <w:sz w:val="24"/>
              </w:rPr>
            </w:pPr>
          </w:p>
          <w:p>
            <w:pPr>
              <w:widowControl/>
              <w:snapToGrid w:val="0"/>
              <w:jc w:val="left"/>
              <w:rPr>
                <w:rFonts w:hint="eastAsia" w:ascii="仿宋_GB2312" w:hAnsi="宋体" w:cs="宋体"/>
                <w:color w:val="000000"/>
                <w:kern w:val="0"/>
                <w:sz w:val="24"/>
              </w:rPr>
            </w:pPr>
          </w:p>
          <w:p>
            <w:pPr>
              <w:widowControl/>
              <w:snapToGrid w:val="0"/>
              <w:jc w:val="left"/>
              <w:rPr>
                <w:rFonts w:hint="eastAsia" w:ascii="仿宋_GB2312" w:hAnsi="宋体" w:cs="宋体"/>
                <w:color w:val="000000"/>
                <w:kern w:val="0"/>
                <w:sz w:val="24"/>
              </w:rPr>
            </w:pPr>
          </w:p>
          <w:p>
            <w:pPr>
              <w:widowControl/>
              <w:snapToGrid w:val="0"/>
              <w:jc w:val="left"/>
              <w:rPr>
                <w:rFonts w:hint="eastAsia" w:ascii="仿宋_GB2312" w:hAnsi="宋体" w:cs="宋体"/>
                <w:color w:val="000000"/>
                <w:kern w:val="0"/>
                <w:sz w:val="24"/>
              </w:rPr>
            </w:pPr>
          </w:p>
        </w:tc>
        <w:tc>
          <w:tcPr>
            <w:tcW w:w="4924" w:type="dxa"/>
            <w:tcBorders>
              <w:top w:val="single" w:color="auto" w:sz="8" w:space="0"/>
              <w:left w:val="nil"/>
              <w:bottom w:val="nil"/>
              <w:right w:val="nil"/>
            </w:tcBorders>
            <w:vAlign w:val="center"/>
          </w:tcPr>
          <w:p>
            <w:pPr>
              <w:widowControl/>
              <w:snapToGrid w:val="0"/>
              <w:jc w:val="left"/>
              <w:rPr>
                <w:rFonts w:hint="eastAsia" w:ascii="仿宋_GB2312" w:hAnsi="宋体" w:cs="宋体"/>
                <w:color w:val="000000"/>
                <w:kern w:val="0"/>
                <w:sz w:val="24"/>
              </w:rPr>
            </w:pPr>
          </w:p>
        </w:tc>
        <w:tc>
          <w:tcPr>
            <w:tcW w:w="888" w:type="dxa"/>
            <w:tcBorders>
              <w:top w:val="single" w:color="auto" w:sz="8" w:space="0"/>
              <w:left w:val="nil"/>
              <w:bottom w:val="nil"/>
              <w:right w:val="nil"/>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406" w:hRule="atLeast"/>
        </w:trPr>
        <w:tc>
          <w:tcPr>
            <w:tcW w:w="724" w:type="dxa"/>
            <w:tcBorders>
              <w:top w:val="single" w:color="auto" w:sz="4" w:space="0"/>
              <w:left w:val="single" w:color="auto" w:sz="8" w:space="0"/>
              <w:bottom w:val="single" w:color="auto" w:sz="4"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内容</w:t>
            </w:r>
          </w:p>
        </w:tc>
        <w:tc>
          <w:tcPr>
            <w:tcW w:w="2126" w:type="dxa"/>
            <w:tcBorders>
              <w:top w:val="single" w:color="auto" w:sz="4" w:space="0"/>
              <w:left w:val="single" w:color="auto" w:sz="8" w:space="0"/>
              <w:bottom w:val="single" w:color="auto" w:sz="4"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一级指标</w:t>
            </w:r>
          </w:p>
        </w:tc>
        <w:tc>
          <w:tcPr>
            <w:tcW w:w="4924" w:type="dxa"/>
            <w:tcBorders>
              <w:top w:val="single" w:color="auto" w:sz="4" w:space="0"/>
              <w:left w:val="nil"/>
              <w:bottom w:val="single" w:color="auto" w:sz="4"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二级指标</w:t>
            </w:r>
          </w:p>
        </w:tc>
        <w:tc>
          <w:tcPr>
            <w:tcW w:w="888" w:type="dxa"/>
            <w:tcBorders>
              <w:top w:val="single" w:color="auto" w:sz="4" w:space="0"/>
              <w:left w:val="nil"/>
              <w:bottom w:val="single" w:color="auto" w:sz="4" w:space="0"/>
              <w:right w:val="single" w:color="auto" w:sz="8" w:space="0"/>
            </w:tcBorders>
            <w:vAlign w:val="center"/>
          </w:tcPr>
          <w:p>
            <w:pPr>
              <w:widowControl/>
              <w:snapToGrid w:val="0"/>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Layout w:type="fixed"/>
          <w:tblCellMar>
            <w:top w:w="0" w:type="dxa"/>
            <w:left w:w="108" w:type="dxa"/>
            <w:bottom w:w="0" w:type="dxa"/>
            <w:right w:w="108" w:type="dxa"/>
          </w:tblCellMar>
        </w:tblPrEx>
        <w:trPr>
          <w:trHeight w:val="422" w:hRule="atLeast"/>
        </w:trPr>
        <w:tc>
          <w:tcPr>
            <w:tcW w:w="724" w:type="dxa"/>
            <w:vMerge w:val="restart"/>
            <w:tcBorders>
              <w:top w:val="single" w:color="auto" w:sz="4" w:space="0"/>
              <w:left w:val="single" w:color="auto" w:sz="8" w:space="0"/>
              <w:bottom w:val="single" w:color="auto" w:sz="8" w:space="0"/>
              <w:right w:val="single" w:color="auto" w:sz="8" w:space="0"/>
            </w:tcBorders>
            <w:vAlign w:val="center"/>
          </w:tcPr>
          <w:p>
            <w:pPr>
              <w:widowControl/>
              <w:snapToGrid w:val="0"/>
              <w:jc w:val="center"/>
              <w:rPr>
                <w:rFonts w:hint="eastAsia" w:ascii="仿宋_GB2312" w:hAnsi="宋体" w:cs="宋体"/>
                <w:color w:val="000000"/>
                <w:kern w:val="0"/>
                <w:sz w:val="24"/>
              </w:rPr>
            </w:pPr>
            <w:r>
              <w:rPr>
                <w:rFonts w:hint="eastAsia" w:ascii="仿宋_GB2312" w:hAnsi="宋体" w:cs="宋体"/>
                <w:color w:val="000000"/>
                <w:kern w:val="0"/>
                <w:sz w:val="24"/>
              </w:rPr>
              <w:t>政务舆情</w:t>
            </w:r>
          </w:p>
          <w:p>
            <w:pPr>
              <w:widowControl/>
              <w:snapToGrid w:val="0"/>
              <w:jc w:val="center"/>
              <w:rPr>
                <w:rFonts w:ascii="仿宋_GB2312" w:hAnsi="宋体" w:cs="宋体"/>
                <w:color w:val="000000"/>
                <w:kern w:val="0"/>
                <w:sz w:val="24"/>
              </w:rPr>
            </w:pPr>
            <w:r>
              <w:rPr>
                <w:rFonts w:hint="eastAsia" w:ascii="仿宋_GB2312" w:hAnsi="宋体" w:cs="宋体"/>
                <w:color w:val="000000"/>
                <w:kern w:val="0"/>
                <w:sz w:val="24"/>
              </w:rPr>
              <w:t>监测处置</w:t>
            </w:r>
          </w:p>
        </w:tc>
        <w:tc>
          <w:tcPr>
            <w:tcW w:w="2126" w:type="dxa"/>
            <w:vMerge w:val="restart"/>
            <w:tcBorders>
              <w:top w:val="single" w:color="auto" w:sz="4" w:space="0"/>
              <w:left w:val="single" w:color="auto" w:sz="8" w:space="0"/>
              <w:bottom w:val="single" w:color="auto" w:sz="8" w:space="0"/>
              <w:right w:val="single" w:color="auto" w:sz="8" w:space="0"/>
            </w:tcBorders>
            <w:vAlign w:val="center"/>
          </w:tcPr>
          <w:p>
            <w:pPr>
              <w:snapToGrid w:val="0"/>
              <w:jc w:val="left"/>
              <w:rPr>
                <w:rFonts w:ascii="仿宋_GB2312" w:hAnsi="宋体" w:cs="宋体"/>
                <w:color w:val="000000"/>
                <w:kern w:val="0"/>
                <w:sz w:val="24"/>
              </w:rPr>
            </w:pPr>
            <w:r>
              <w:rPr>
                <w:rFonts w:hint="eastAsia" w:ascii="仿宋_GB2312" w:hAnsi="宋体" w:cs="宋体"/>
                <w:color w:val="000000"/>
                <w:kern w:val="0"/>
                <w:sz w:val="24"/>
              </w:rPr>
              <w:t>热点回应</w:t>
            </w:r>
          </w:p>
        </w:tc>
        <w:tc>
          <w:tcPr>
            <w:tcW w:w="4924" w:type="dxa"/>
            <w:tcBorders>
              <w:top w:val="single" w:color="auto" w:sz="4" w:space="0"/>
              <w:left w:val="nil"/>
              <w:bottom w:val="single" w:color="auto" w:sz="8" w:space="0"/>
              <w:right w:val="single" w:color="auto" w:sz="8" w:space="0"/>
            </w:tcBorders>
            <w:vAlign w:val="center"/>
          </w:tcPr>
          <w:p>
            <w:pPr>
              <w:snapToGrid w:val="0"/>
              <w:jc w:val="left"/>
              <w:rPr>
                <w:rFonts w:hint="eastAsia" w:ascii="仿宋_GB2312" w:hAnsi="宋体" w:cs="宋体"/>
                <w:color w:val="000000"/>
                <w:kern w:val="0"/>
                <w:sz w:val="24"/>
              </w:rPr>
            </w:pPr>
            <w:r>
              <w:rPr>
                <w:rFonts w:hint="eastAsia" w:ascii="仿宋_GB2312" w:hAnsi="宋体" w:cs="宋体"/>
                <w:color w:val="000000"/>
                <w:kern w:val="0"/>
                <w:sz w:val="24"/>
              </w:rPr>
              <w:t>权威性。主要负责人按要求作出回应</w:t>
            </w:r>
          </w:p>
        </w:tc>
        <w:tc>
          <w:tcPr>
            <w:tcW w:w="888" w:type="dxa"/>
            <w:tcBorders>
              <w:top w:val="single" w:color="auto" w:sz="4" w:space="0"/>
              <w:left w:val="nil"/>
              <w:bottom w:val="single" w:color="auto" w:sz="8" w:space="0"/>
              <w:right w:val="single" w:color="auto" w:sz="8" w:space="0"/>
            </w:tcBorders>
            <w:vAlign w:val="center"/>
          </w:tcPr>
          <w:p>
            <w:pPr>
              <w:snapToGrid w:val="0"/>
              <w:jc w:val="left"/>
              <w:rPr>
                <w:rFonts w:hint="eastAsia"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广覆盖。通过政府网站、报纸、微博微信、新闻网等媒体及时回应</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持续有效。保持后续跟进，避免引发媒体反弹或次生舆情等</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restart"/>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r>
              <w:rPr>
                <w:rFonts w:hint="eastAsia" w:ascii="仿宋_GB2312" w:hAnsi="宋体" w:cs="宋体"/>
                <w:color w:val="000000"/>
                <w:kern w:val="0"/>
                <w:sz w:val="24"/>
              </w:rPr>
              <w:t>公众参与</w:t>
            </w: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完善参与渠道</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网站互动：设置在线互动平台，及时反馈互动</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公众代表、专家、媒体等列席政府有关会议</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4"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政府热线电话、</w:t>
            </w:r>
            <w:r>
              <w:rPr>
                <w:rFonts w:hint="eastAsia" w:ascii="仿宋_GB2312" w:hAnsi="宋体" w:cs="宋体"/>
                <w:color w:val="000000"/>
                <w:kern w:val="0"/>
                <w:sz w:val="24"/>
                <w:lang w:eastAsia="zh-CN"/>
              </w:rPr>
              <w:t>乡</w:t>
            </w:r>
            <w:r>
              <w:rPr>
                <w:rFonts w:hint="eastAsia" w:ascii="仿宋_GB2312" w:hAnsi="宋体" w:cs="宋体"/>
                <w:color w:val="000000"/>
                <w:kern w:val="0"/>
                <w:sz w:val="24"/>
              </w:rPr>
              <w:t>（</w:t>
            </w:r>
            <w:r>
              <w:rPr>
                <w:rFonts w:hint="eastAsia" w:ascii="仿宋_GB2312" w:hAnsi="宋体" w:cs="宋体"/>
                <w:color w:val="000000"/>
                <w:kern w:val="0"/>
                <w:sz w:val="24"/>
                <w:lang w:eastAsia="zh-CN"/>
              </w:rPr>
              <w:t>镇</w:t>
            </w:r>
            <w:r>
              <w:rPr>
                <w:rFonts w:hint="eastAsia" w:ascii="仿宋_GB2312" w:hAnsi="宋体" w:cs="宋体"/>
                <w:color w:val="000000"/>
                <w:kern w:val="0"/>
                <w:sz w:val="24"/>
              </w:rPr>
              <w:t>）长</w:t>
            </w:r>
            <w:r>
              <w:rPr>
                <w:rFonts w:hint="eastAsia" w:ascii="仿宋_GB2312" w:hAnsi="宋体" w:cs="宋体"/>
                <w:color w:val="000000"/>
                <w:kern w:val="0"/>
                <w:sz w:val="24"/>
                <w:lang w:eastAsia="zh-CN"/>
              </w:rPr>
              <w:t>热线</w:t>
            </w:r>
            <w:r>
              <w:rPr>
                <w:rFonts w:hint="eastAsia" w:ascii="仿宋_GB2312" w:hAnsi="宋体" w:cs="宋体"/>
                <w:color w:val="000000"/>
                <w:kern w:val="0"/>
                <w:sz w:val="24"/>
              </w:rPr>
              <w:t>、广播电视问政</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restart"/>
            <w:tcBorders>
              <w:top w:val="single" w:color="auto" w:sz="4" w:space="0"/>
              <w:left w:val="single" w:color="auto" w:sz="8" w:space="0"/>
              <w:bottom w:val="single" w:color="auto" w:sz="8" w:space="0"/>
              <w:right w:val="single" w:color="auto" w:sz="8" w:space="0"/>
            </w:tcBorders>
            <w:vAlign w:val="center"/>
          </w:tcPr>
          <w:p>
            <w:pPr>
              <w:snapToGrid w:val="0"/>
              <w:jc w:val="left"/>
              <w:rPr>
                <w:rFonts w:ascii="仿宋_GB2312" w:hAnsi="宋体" w:cs="宋体"/>
                <w:color w:val="000000"/>
                <w:kern w:val="0"/>
                <w:sz w:val="24"/>
              </w:rPr>
            </w:pPr>
            <w:r>
              <w:rPr>
                <w:rFonts w:ascii="仿宋_GB2312" w:hAnsi="宋体" w:cs="宋体"/>
                <w:color w:val="000000"/>
                <w:kern w:val="0"/>
                <w:sz w:val="24"/>
              </w:rPr>
              <w:t>规范参与方式</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严格落实法律、法规规定的听证程序</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585" w:hRule="atLeast"/>
        </w:trPr>
        <w:tc>
          <w:tcPr>
            <w:tcW w:w="724" w:type="dxa"/>
            <w:vMerge w:val="continue"/>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公布公开征求意见的采纳情况。相对集中的意见建议不予采纳的，公布时要说明理由</w:t>
            </w:r>
          </w:p>
        </w:tc>
        <w:tc>
          <w:tcPr>
            <w:tcW w:w="888"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　</w:t>
            </w:r>
          </w:p>
        </w:tc>
      </w:tr>
      <w:tr>
        <w:tblPrEx>
          <w:tblLayout w:type="fixed"/>
          <w:tblCellMar>
            <w:top w:w="0" w:type="dxa"/>
            <w:left w:w="108" w:type="dxa"/>
            <w:bottom w:w="0" w:type="dxa"/>
            <w:right w:w="108" w:type="dxa"/>
          </w:tblCellMar>
        </w:tblPrEx>
        <w:trPr>
          <w:trHeight w:val="300" w:hRule="atLeast"/>
        </w:trPr>
        <w:tc>
          <w:tcPr>
            <w:tcW w:w="724" w:type="dxa"/>
            <w:vMerge w:val="restart"/>
            <w:tcBorders>
              <w:top w:val="nil"/>
              <w:left w:val="single" w:color="auto" w:sz="8" w:space="0"/>
              <w:right w:val="single" w:color="auto" w:sz="8" w:space="0"/>
            </w:tcBorders>
            <w:vAlign w:val="center"/>
          </w:tcPr>
          <w:p>
            <w:pPr>
              <w:widowControl/>
              <w:snapToGrid w:val="0"/>
              <w:ind w:left="113" w:right="113"/>
              <w:jc w:val="center"/>
              <w:rPr>
                <w:rFonts w:ascii="仿宋_GB2312" w:hAnsi="宋体" w:cs="宋体"/>
                <w:color w:val="000000"/>
                <w:kern w:val="0"/>
                <w:sz w:val="24"/>
              </w:rPr>
            </w:pPr>
            <w:r>
              <w:rPr>
                <w:rFonts w:hint="eastAsia" w:ascii="仿宋_GB2312" w:hAnsi="宋体" w:cs="宋体"/>
                <w:color w:val="000000"/>
                <w:kern w:val="0"/>
                <w:sz w:val="24"/>
              </w:rPr>
              <w:t>政务服务</w:t>
            </w:r>
          </w:p>
        </w:tc>
        <w:tc>
          <w:tcPr>
            <w:tcW w:w="2126" w:type="dxa"/>
            <w:vMerge w:val="restart"/>
            <w:tcBorders>
              <w:top w:val="nil"/>
              <w:left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政务服务制度</w:t>
            </w:r>
          </w:p>
        </w:tc>
        <w:tc>
          <w:tcPr>
            <w:tcW w:w="4924"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政务服务工作制度和流程</w:t>
            </w:r>
          </w:p>
        </w:tc>
        <w:tc>
          <w:tcPr>
            <w:tcW w:w="888" w:type="dxa"/>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vAlign w:val="center"/>
          </w:tcPr>
          <w:p>
            <w:pPr>
              <w:widowControl/>
              <w:snapToGrid w:val="0"/>
              <w:ind w:left="113" w:right="113"/>
              <w:jc w:val="center"/>
              <w:rPr>
                <w:rFonts w:hint="eastAsia" w:ascii="仿宋_GB2312" w:hAnsi="宋体" w:cs="宋体"/>
                <w:color w:val="000000"/>
                <w:kern w:val="0"/>
                <w:sz w:val="24"/>
              </w:rPr>
            </w:pPr>
          </w:p>
        </w:tc>
        <w:tc>
          <w:tcPr>
            <w:tcW w:w="2126" w:type="dxa"/>
            <w:vMerge w:val="continue"/>
            <w:tcBorders>
              <w:left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权力清单、职责清单、便民利民服务事项清单</w:t>
            </w:r>
          </w:p>
        </w:tc>
        <w:tc>
          <w:tcPr>
            <w:tcW w:w="888" w:type="dxa"/>
            <w:tcBorders>
              <w:top w:val="nil"/>
              <w:left w:val="single" w:color="auto" w:sz="8" w:space="0"/>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vAlign w:val="center"/>
          </w:tcPr>
          <w:p>
            <w:pPr>
              <w:widowControl/>
              <w:snapToGrid w:val="0"/>
              <w:ind w:left="113" w:right="113"/>
              <w:jc w:val="center"/>
              <w:rPr>
                <w:rFonts w:hint="eastAsia" w:ascii="仿宋_GB2312" w:hAnsi="宋体" w:cs="宋体"/>
                <w:color w:val="000000"/>
                <w:kern w:val="0"/>
                <w:sz w:val="24"/>
              </w:rPr>
            </w:pPr>
          </w:p>
        </w:tc>
        <w:tc>
          <w:tcPr>
            <w:tcW w:w="2126" w:type="dxa"/>
            <w:vMerge w:val="continue"/>
            <w:tcBorders>
              <w:left w:val="single" w:color="auto" w:sz="8" w:space="0"/>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政务信息资源共享管理制度</w:t>
            </w:r>
          </w:p>
        </w:tc>
        <w:tc>
          <w:tcPr>
            <w:tcW w:w="888" w:type="dxa"/>
            <w:tcBorders>
              <w:top w:val="nil"/>
              <w:left w:val="single" w:color="auto" w:sz="8" w:space="0"/>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vAlign w:val="center"/>
          </w:tcPr>
          <w:p>
            <w:pPr>
              <w:widowControl/>
              <w:snapToGrid w:val="0"/>
              <w:ind w:left="113" w:right="113"/>
              <w:jc w:val="center"/>
              <w:rPr>
                <w:rFonts w:hint="eastAsia" w:ascii="仿宋_GB2312" w:hAnsi="宋体" w:cs="宋体"/>
                <w:color w:val="000000"/>
                <w:kern w:val="0"/>
                <w:sz w:val="24"/>
              </w:rPr>
            </w:pPr>
          </w:p>
        </w:tc>
        <w:tc>
          <w:tcPr>
            <w:tcW w:w="2126" w:type="dxa"/>
            <w:vMerge w:val="restart"/>
            <w:tcBorders>
              <w:top w:val="nil"/>
              <w:left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实体政务服务大厅</w:t>
            </w:r>
          </w:p>
        </w:tc>
        <w:tc>
          <w:tcPr>
            <w:tcW w:w="4924"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集约化建设。</w:t>
            </w:r>
            <w:r>
              <w:rPr>
                <w:rFonts w:hint="eastAsia" w:ascii="仿宋_GB2312" w:hAnsi="宋体" w:cs="宋体"/>
                <w:color w:val="000000"/>
                <w:kern w:val="0"/>
                <w:sz w:val="24"/>
                <w:lang w:eastAsia="zh-CN"/>
              </w:rPr>
              <w:t>乡</w:t>
            </w:r>
            <w:r>
              <w:rPr>
                <w:rFonts w:hint="eastAsia" w:ascii="仿宋_GB2312" w:hAnsi="宋体" w:cs="宋体"/>
                <w:color w:val="000000"/>
                <w:kern w:val="0"/>
                <w:sz w:val="24"/>
              </w:rPr>
              <w:t>（</w:t>
            </w:r>
            <w:r>
              <w:rPr>
                <w:rFonts w:hint="eastAsia" w:ascii="仿宋_GB2312" w:hAnsi="宋体" w:cs="宋体"/>
                <w:color w:val="000000"/>
                <w:kern w:val="0"/>
                <w:sz w:val="24"/>
                <w:lang w:eastAsia="zh-CN"/>
              </w:rPr>
              <w:t>镇</w:t>
            </w:r>
            <w:r>
              <w:rPr>
                <w:rFonts w:hint="eastAsia" w:ascii="仿宋_GB2312" w:hAnsi="宋体" w:cs="宋体"/>
                <w:color w:val="000000"/>
                <w:kern w:val="0"/>
                <w:sz w:val="24"/>
              </w:rPr>
              <w:t>）本级只建设一个实体服务大厅，场地满足需求，功能齐备，制度完善，运行规范，服务事项进驻齐全（大厅之外无政务服务事项和审批办理职权）</w:t>
            </w:r>
          </w:p>
        </w:tc>
        <w:tc>
          <w:tcPr>
            <w:tcW w:w="888" w:type="dxa"/>
            <w:tcBorders>
              <w:top w:val="nil"/>
              <w:left w:val="single" w:color="auto" w:sz="8" w:space="0"/>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vAlign w:val="center"/>
          </w:tcPr>
          <w:p>
            <w:pPr>
              <w:widowControl/>
              <w:snapToGrid w:val="0"/>
              <w:ind w:left="113" w:right="113"/>
              <w:jc w:val="center"/>
              <w:rPr>
                <w:rFonts w:hint="eastAsia" w:ascii="仿宋_GB2312" w:hAnsi="宋体" w:cs="宋体"/>
                <w:color w:val="000000"/>
                <w:kern w:val="0"/>
                <w:sz w:val="24"/>
              </w:rPr>
            </w:pPr>
          </w:p>
        </w:tc>
        <w:tc>
          <w:tcPr>
            <w:tcW w:w="2126" w:type="dxa"/>
            <w:vMerge w:val="continue"/>
            <w:tcBorders>
              <w:left w:val="single" w:color="auto" w:sz="8" w:space="0"/>
              <w:bottom w:val="single" w:color="auto" w:sz="4" w:space="0"/>
              <w:right w:val="single" w:color="auto" w:sz="8" w:space="0"/>
            </w:tcBorders>
            <w:vAlign w:val="center"/>
          </w:tcPr>
          <w:p>
            <w:pPr>
              <w:widowControl/>
              <w:snapToGrid w:val="0"/>
              <w:jc w:val="left"/>
              <w:rPr>
                <w:rFonts w:hint="eastAsia"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集中办理、一站式办结率高</w:t>
            </w:r>
          </w:p>
        </w:tc>
        <w:tc>
          <w:tcPr>
            <w:tcW w:w="888" w:type="dxa"/>
            <w:tcBorders>
              <w:top w:val="nil"/>
              <w:left w:val="single" w:color="auto" w:sz="8" w:space="0"/>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vAlign w:val="center"/>
          </w:tcPr>
          <w:p>
            <w:pPr>
              <w:widowControl/>
              <w:snapToGrid w:val="0"/>
              <w:ind w:left="113" w:right="113"/>
              <w:jc w:val="center"/>
              <w:rPr>
                <w:rFonts w:hint="eastAsia" w:ascii="仿宋_GB2312" w:hAnsi="宋体" w:cs="宋体"/>
                <w:color w:val="000000"/>
                <w:kern w:val="0"/>
                <w:sz w:val="24"/>
              </w:rPr>
            </w:pPr>
          </w:p>
        </w:tc>
        <w:tc>
          <w:tcPr>
            <w:tcW w:w="2126" w:type="dxa"/>
            <w:vMerge w:val="restart"/>
            <w:tcBorders>
              <w:top w:val="single" w:color="auto" w:sz="4" w:space="0"/>
              <w:left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基层政务服务</w:t>
            </w:r>
          </w:p>
        </w:tc>
        <w:tc>
          <w:tcPr>
            <w:tcW w:w="4924"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乡（镇）便民服务中心建设达标</w:t>
            </w:r>
          </w:p>
        </w:tc>
        <w:tc>
          <w:tcPr>
            <w:tcW w:w="888" w:type="dxa"/>
            <w:tcBorders>
              <w:top w:val="nil"/>
              <w:left w:val="single" w:color="auto" w:sz="8" w:space="0"/>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right w:val="single" w:color="auto" w:sz="8" w:space="0"/>
            </w:tcBorders>
            <w:vAlign w:val="center"/>
          </w:tcPr>
          <w:p>
            <w:pPr>
              <w:widowControl/>
              <w:snapToGrid w:val="0"/>
              <w:ind w:left="113" w:right="113"/>
              <w:jc w:val="center"/>
              <w:rPr>
                <w:rFonts w:hint="eastAsia" w:ascii="仿宋_GB2312" w:hAnsi="宋体" w:cs="宋体"/>
                <w:color w:val="000000"/>
                <w:kern w:val="0"/>
                <w:sz w:val="24"/>
              </w:rPr>
            </w:pPr>
          </w:p>
        </w:tc>
        <w:tc>
          <w:tcPr>
            <w:tcW w:w="2126" w:type="dxa"/>
            <w:vMerge w:val="continue"/>
            <w:tcBorders>
              <w:left w:val="single" w:color="auto" w:sz="8" w:space="0"/>
              <w:right w:val="single" w:color="auto" w:sz="8" w:space="0"/>
            </w:tcBorders>
            <w:vAlign w:val="top"/>
          </w:tcPr>
          <w:p>
            <w:pPr>
              <w:widowControl/>
              <w:snapToGrid w:val="0"/>
              <w:jc w:val="left"/>
              <w:rPr>
                <w:rFonts w:hint="eastAsia"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城乡社区（村）设便民代办点，实行便民服务免费代办制度</w:t>
            </w:r>
          </w:p>
        </w:tc>
        <w:tc>
          <w:tcPr>
            <w:tcW w:w="888" w:type="dxa"/>
            <w:tcBorders>
              <w:top w:val="nil"/>
              <w:left w:val="single" w:color="auto" w:sz="8" w:space="0"/>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left w:val="single" w:color="auto" w:sz="8" w:space="0"/>
              <w:bottom w:val="single" w:color="auto" w:sz="8" w:space="0"/>
              <w:right w:val="single" w:color="auto" w:sz="8" w:space="0"/>
            </w:tcBorders>
            <w:vAlign w:val="center"/>
          </w:tcPr>
          <w:p>
            <w:pPr>
              <w:widowControl/>
              <w:snapToGrid w:val="0"/>
              <w:ind w:left="113" w:right="113"/>
              <w:jc w:val="center"/>
              <w:rPr>
                <w:rFonts w:hint="eastAsia" w:ascii="仿宋_GB2312" w:hAnsi="宋体" w:cs="宋体"/>
                <w:color w:val="000000"/>
                <w:kern w:val="0"/>
                <w:sz w:val="24"/>
              </w:rPr>
            </w:pPr>
          </w:p>
        </w:tc>
        <w:tc>
          <w:tcPr>
            <w:tcW w:w="2126" w:type="dxa"/>
            <w:vMerge w:val="continue"/>
            <w:tcBorders>
              <w:left w:val="single" w:color="auto" w:sz="8" w:space="0"/>
              <w:bottom w:val="single" w:color="auto" w:sz="8" w:space="0"/>
              <w:right w:val="single" w:color="auto" w:sz="8" w:space="0"/>
            </w:tcBorders>
            <w:vAlign w:val="top"/>
          </w:tcPr>
          <w:p>
            <w:pPr>
              <w:widowControl/>
              <w:snapToGrid w:val="0"/>
              <w:jc w:val="left"/>
              <w:rPr>
                <w:rFonts w:hint="eastAsia"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r>
              <w:rPr>
                <w:rFonts w:hint="eastAsia" w:ascii="仿宋_GB2312" w:hAnsi="宋体" w:cs="宋体"/>
                <w:color w:val="000000"/>
                <w:kern w:val="0"/>
                <w:sz w:val="24"/>
              </w:rPr>
              <w:t>面向基层服务的医院、学校、公交和水、电、气、等公共企事业单位办事公开制度健全，编制公共服务事项目录和服务指南并进行公开。</w:t>
            </w:r>
          </w:p>
        </w:tc>
        <w:tc>
          <w:tcPr>
            <w:tcW w:w="888" w:type="dxa"/>
            <w:tcBorders>
              <w:top w:val="nil"/>
              <w:left w:val="single" w:color="auto" w:sz="8" w:space="0"/>
              <w:bottom w:val="single" w:color="auto" w:sz="8" w:space="0"/>
              <w:right w:val="single" w:color="auto" w:sz="8" w:space="0"/>
            </w:tcBorders>
            <w:vAlign w:val="center"/>
          </w:tcPr>
          <w:p>
            <w:pPr>
              <w:widowControl/>
              <w:snapToGrid w:val="0"/>
              <w:jc w:val="left"/>
              <w:rPr>
                <w:rFonts w:hint="eastAsia"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restart"/>
            <w:tcBorders>
              <w:top w:val="nil"/>
              <w:left w:val="single" w:color="auto" w:sz="8" w:space="0"/>
              <w:bottom w:val="single" w:color="auto" w:sz="8" w:space="0"/>
              <w:right w:val="single" w:color="auto" w:sz="8" w:space="0"/>
            </w:tcBorders>
            <w:textDirection w:val="tbRlV"/>
            <w:vAlign w:val="center"/>
          </w:tcPr>
          <w:p>
            <w:pPr>
              <w:widowControl/>
              <w:snapToGrid w:val="0"/>
              <w:ind w:left="113" w:right="113"/>
              <w:jc w:val="center"/>
              <w:rPr>
                <w:rFonts w:ascii="仿宋_GB2312" w:hAnsi="宋体" w:cs="宋体"/>
                <w:color w:val="000000"/>
                <w:kern w:val="0"/>
                <w:sz w:val="24"/>
              </w:rPr>
            </w:pPr>
            <w:r>
              <w:rPr>
                <w:rFonts w:hint="eastAsia" w:ascii="仿宋_GB2312" w:hAnsi="宋体" w:cs="宋体"/>
                <w:color w:val="000000"/>
                <w:kern w:val="0"/>
                <w:sz w:val="24"/>
              </w:rPr>
              <w:t>特别项</w:t>
            </w: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特别加分项</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被</w:t>
            </w:r>
            <w:r>
              <w:rPr>
                <w:rFonts w:hint="eastAsia" w:ascii="仿宋_GB2312" w:hAnsi="宋体" w:cs="宋体"/>
                <w:color w:val="000000"/>
                <w:kern w:val="0"/>
                <w:sz w:val="24"/>
                <w:lang w:eastAsia="zh-CN"/>
              </w:rPr>
              <w:t>县</w:t>
            </w:r>
            <w:r>
              <w:rPr>
                <w:rFonts w:hint="eastAsia" w:ascii="仿宋_GB2312" w:hAnsi="宋体" w:cs="宋体"/>
                <w:color w:val="000000"/>
                <w:kern w:val="0"/>
                <w:sz w:val="24"/>
              </w:rPr>
              <w:t>级以上党报、党刊、政府网站及其他新闻媒体正面宣传报道</w:t>
            </w:r>
          </w:p>
        </w:tc>
        <w:tc>
          <w:tcPr>
            <w:tcW w:w="888"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不在总分内，但得分可计入（减）总分</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被</w:t>
            </w:r>
            <w:r>
              <w:rPr>
                <w:rFonts w:hint="eastAsia" w:ascii="仿宋_GB2312" w:hAnsi="宋体" w:cs="宋体"/>
                <w:color w:val="000000"/>
                <w:kern w:val="0"/>
                <w:sz w:val="24"/>
                <w:lang w:eastAsia="zh-CN"/>
              </w:rPr>
              <w:t>县</w:t>
            </w:r>
            <w:r>
              <w:rPr>
                <w:rFonts w:hint="eastAsia" w:ascii="仿宋_GB2312" w:hAnsi="宋体" w:cs="宋体"/>
                <w:color w:val="000000"/>
                <w:kern w:val="0"/>
                <w:sz w:val="24"/>
              </w:rPr>
              <w:t>级以上领导批示表扬</w:t>
            </w:r>
          </w:p>
        </w:tc>
        <w:tc>
          <w:tcPr>
            <w:tcW w:w="888"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被</w:t>
            </w:r>
            <w:r>
              <w:rPr>
                <w:rFonts w:hint="eastAsia" w:ascii="仿宋_GB2312" w:hAnsi="宋体" w:cs="宋体"/>
                <w:color w:val="000000"/>
                <w:kern w:val="0"/>
                <w:sz w:val="24"/>
                <w:lang w:eastAsia="zh-CN"/>
              </w:rPr>
              <w:t>县</w:t>
            </w:r>
            <w:r>
              <w:rPr>
                <w:rFonts w:hint="eastAsia" w:ascii="仿宋_GB2312" w:hAnsi="宋体" w:cs="宋体"/>
                <w:color w:val="000000"/>
                <w:kern w:val="0"/>
                <w:sz w:val="24"/>
              </w:rPr>
              <w:t>政府或省直委厅局级以上政务公开工作机构通报表扬</w:t>
            </w:r>
          </w:p>
        </w:tc>
        <w:tc>
          <w:tcPr>
            <w:tcW w:w="888"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2126" w:type="dxa"/>
            <w:vMerge w:val="restart"/>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特别减分项</w:t>
            </w: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被</w:t>
            </w:r>
            <w:r>
              <w:rPr>
                <w:rFonts w:hint="eastAsia" w:ascii="仿宋_GB2312" w:hAnsi="宋体" w:cs="宋体"/>
                <w:color w:val="000000"/>
                <w:kern w:val="0"/>
                <w:sz w:val="24"/>
                <w:lang w:eastAsia="zh-CN"/>
              </w:rPr>
              <w:t>县</w:t>
            </w:r>
            <w:r>
              <w:rPr>
                <w:rFonts w:hint="eastAsia" w:ascii="仿宋_GB2312" w:hAnsi="宋体" w:cs="宋体"/>
                <w:color w:val="000000"/>
                <w:kern w:val="0"/>
                <w:sz w:val="24"/>
              </w:rPr>
              <w:t>级以上党报、党刊、政府网站及其他新闻媒体负面报道</w:t>
            </w:r>
          </w:p>
        </w:tc>
        <w:tc>
          <w:tcPr>
            <w:tcW w:w="888"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被</w:t>
            </w:r>
            <w:r>
              <w:rPr>
                <w:rFonts w:hint="eastAsia" w:ascii="仿宋_GB2312" w:hAnsi="宋体" w:cs="宋体"/>
                <w:color w:val="000000"/>
                <w:kern w:val="0"/>
                <w:sz w:val="24"/>
                <w:lang w:eastAsia="zh-CN"/>
              </w:rPr>
              <w:t>县</w:t>
            </w:r>
            <w:r>
              <w:rPr>
                <w:rFonts w:hint="eastAsia" w:ascii="仿宋_GB2312" w:hAnsi="宋体" w:cs="宋体"/>
                <w:color w:val="000000"/>
                <w:kern w:val="0"/>
                <w:sz w:val="24"/>
              </w:rPr>
              <w:t>级以上领导批示批评</w:t>
            </w:r>
          </w:p>
        </w:tc>
        <w:tc>
          <w:tcPr>
            <w:tcW w:w="888"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r>
      <w:tr>
        <w:tblPrEx>
          <w:tblLayout w:type="fixed"/>
          <w:tblCellMar>
            <w:top w:w="0" w:type="dxa"/>
            <w:left w:w="108" w:type="dxa"/>
            <w:bottom w:w="0" w:type="dxa"/>
            <w:right w:w="108" w:type="dxa"/>
          </w:tblCellMar>
        </w:tblPrEx>
        <w:trPr>
          <w:trHeight w:val="585" w:hRule="atLeast"/>
        </w:trPr>
        <w:tc>
          <w:tcPr>
            <w:tcW w:w="724"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被</w:t>
            </w:r>
            <w:r>
              <w:rPr>
                <w:rFonts w:hint="eastAsia" w:ascii="仿宋_GB2312" w:hAnsi="宋体" w:cs="宋体"/>
                <w:color w:val="000000"/>
                <w:kern w:val="0"/>
                <w:sz w:val="24"/>
                <w:lang w:eastAsia="zh-CN"/>
              </w:rPr>
              <w:t>县</w:t>
            </w:r>
            <w:r>
              <w:rPr>
                <w:rFonts w:hint="eastAsia" w:ascii="仿宋_GB2312" w:hAnsi="宋体" w:cs="宋体"/>
                <w:color w:val="000000"/>
                <w:kern w:val="0"/>
                <w:sz w:val="24"/>
              </w:rPr>
              <w:t>政府或省直委厅局级以上政务公开工作机构通报批评</w:t>
            </w:r>
          </w:p>
        </w:tc>
        <w:tc>
          <w:tcPr>
            <w:tcW w:w="888"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2126"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c>
          <w:tcPr>
            <w:tcW w:w="4924" w:type="dxa"/>
            <w:tcBorders>
              <w:top w:val="nil"/>
              <w:left w:val="nil"/>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不按要求参加培训、会议、上报材料、反馈意见</w:t>
            </w:r>
          </w:p>
        </w:tc>
        <w:tc>
          <w:tcPr>
            <w:tcW w:w="888" w:type="dxa"/>
            <w:vMerge w:val="continue"/>
            <w:tcBorders>
              <w:top w:val="nil"/>
              <w:left w:val="single" w:color="auto" w:sz="8" w:space="0"/>
              <w:bottom w:val="single" w:color="auto" w:sz="8" w:space="0"/>
              <w:right w:val="single" w:color="auto" w:sz="8" w:space="0"/>
            </w:tcBorders>
            <w:vAlign w:val="center"/>
          </w:tcPr>
          <w:p>
            <w:pPr>
              <w:widowControl/>
              <w:snapToGrid w:val="0"/>
              <w:jc w:val="left"/>
              <w:rPr>
                <w:rFonts w:ascii="仿宋_GB2312" w:hAnsi="宋体" w:cs="宋体"/>
                <w:color w:val="000000"/>
                <w:kern w:val="0"/>
                <w:sz w:val="24"/>
              </w:rPr>
            </w:pP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auto" w:sz="4" w:space="0"/>
              <w:right w:val="single" w:color="auto" w:sz="8" w:space="0"/>
            </w:tcBorders>
            <w:vAlign w:val="center"/>
          </w:tcPr>
          <w:p>
            <w:pPr>
              <w:widowControl/>
              <w:snapToGrid w:val="0"/>
              <w:jc w:val="left"/>
              <w:rPr>
                <w:rFonts w:ascii="仿宋_GB2312" w:hAnsi="宋体" w:cs="宋体"/>
                <w:color w:val="000000"/>
                <w:kern w:val="0"/>
                <w:sz w:val="24"/>
              </w:rPr>
            </w:pPr>
          </w:p>
        </w:tc>
        <w:tc>
          <w:tcPr>
            <w:tcW w:w="2126" w:type="dxa"/>
            <w:tcBorders>
              <w:top w:val="nil"/>
              <w:left w:val="nil"/>
              <w:bottom w:val="single" w:color="auto" w:sz="4"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直接归零项</w:t>
            </w:r>
          </w:p>
        </w:tc>
        <w:tc>
          <w:tcPr>
            <w:tcW w:w="4924" w:type="dxa"/>
            <w:tcBorders>
              <w:top w:val="nil"/>
              <w:left w:val="nil"/>
              <w:bottom w:val="single" w:color="auto" w:sz="4" w:space="0"/>
              <w:right w:val="single" w:color="auto" w:sz="8" w:space="0"/>
            </w:tcBorders>
            <w:vAlign w:val="center"/>
          </w:tcPr>
          <w:p>
            <w:pPr>
              <w:widowControl/>
              <w:snapToGrid w:val="0"/>
              <w:jc w:val="left"/>
              <w:rPr>
                <w:rFonts w:ascii="仿宋_GB2312" w:hAnsi="宋体" w:cs="宋体"/>
                <w:color w:val="000000"/>
                <w:kern w:val="0"/>
                <w:sz w:val="24"/>
              </w:rPr>
            </w:pPr>
            <w:r>
              <w:rPr>
                <w:rFonts w:hint="eastAsia" w:ascii="仿宋_GB2312" w:hAnsi="宋体" w:cs="宋体"/>
                <w:color w:val="000000"/>
                <w:kern w:val="0"/>
                <w:sz w:val="24"/>
              </w:rPr>
              <w:t>在日常工作和考核、检查中弄虚作假的</w:t>
            </w:r>
          </w:p>
        </w:tc>
        <w:tc>
          <w:tcPr>
            <w:tcW w:w="888" w:type="dxa"/>
            <w:vMerge w:val="continue"/>
            <w:tcBorders>
              <w:top w:val="nil"/>
              <w:left w:val="single" w:color="auto" w:sz="8" w:space="0"/>
              <w:bottom w:val="single" w:color="auto" w:sz="4" w:space="0"/>
              <w:right w:val="single" w:color="auto" w:sz="8" w:space="0"/>
            </w:tcBorders>
            <w:vAlign w:val="center"/>
          </w:tcPr>
          <w:p>
            <w:pPr>
              <w:widowControl/>
              <w:snapToGrid w:val="0"/>
              <w:jc w:val="left"/>
              <w:rPr>
                <w:rFonts w:ascii="仿宋_GB2312" w:hAnsi="宋体" w:cs="宋体"/>
                <w:color w:val="000000"/>
                <w:kern w:val="0"/>
                <w:sz w:val="24"/>
              </w:rPr>
            </w:pPr>
          </w:p>
        </w:tc>
      </w:tr>
    </w:tbl>
    <w:p>
      <w:pPr>
        <w:rPr>
          <w:rFonts w:ascii="黑体" w:hAnsi="黑体" w:eastAsia="黑体"/>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C7413"/>
    <w:rsid w:val="0A6C7413"/>
    <w:rsid w:val="686169D6"/>
    <w:rsid w:val="69733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2018-01-19T05:46:00Z</dcterms:created>
  <dc:creator>Administrator</dc:creator>
  <cp:lastModifiedBy>Administrator</cp:lastModifiedBy>
  <dcterms:modified xsi:type="dcterms:W3CDTF">2018-01-19T05:53:39Z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