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lang w:val="en-US" w:eastAsia="zh-CN"/>
        </w:rPr>
      </w:pPr>
      <w:r>
        <w:rPr>
          <w:rFonts w:hint="eastAsia" w:ascii="黑体" w:hAnsi="黑体" w:eastAsia="黑体" w:cs="黑体"/>
          <w:color w:val="auto"/>
          <w:sz w:val="52"/>
          <w:szCs w:val="52"/>
          <w:highlight w:val="none"/>
          <w:lang w:val="en-US" w:eastAsia="zh-CN"/>
        </w:rPr>
        <w:t>台前县广播电视台</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2017年度</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二〇一八年九月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广播电视台</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w:t>
      </w:r>
      <w:r>
        <w:rPr>
          <w:rFonts w:hint="eastAsia" w:ascii="黑体" w:hAnsi="黑体" w:eastAsia="黑体" w:cs="黑体"/>
          <w:color w:val="auto"/>
          <w:sz w:val="32"/>
          <w:szCs w:val="32"/>
          <w:highlight w:val="none"/>
          <w:lang w:eastAsia="zh-CN"/>
        </w:rPr>
        <w:t>2017年度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hint="eastAsia" w:ascii="黑体" w:hAnsi="黑体" w:eastAsia="黑体" w:cs="黑体"/>
          <w:color w:val="auto"/>
          <w:sz w:val="32"/>
          <w:szCs w:val="32"/>
          <w:highlight w:val="none"/>
          <w:lang w:eastAsia="zh-CN"/>
        </w:rPr>
        <w:t>2017年度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widowControl/>
        <w:numPr>
          <w:ilvl w:val="0"/>
          <w:numId w:val="0"/>
        </w:num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widowControl/>
        <w:numPr>
          <w:ilvl w:val="0"/>
          <w:numId w:val="0"/>
        </w:num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sz w:val="32"/>
          <w:szCs w:val="32"/>
          <w:lang w:val="en-US" w:eastAsia="zh-CN"/>
        </w:rPr>
        <w:t>十三、其他重要事项的情况说明</w:t>
      </w:r>
    </w:p>
    <w:p>
      <w:pPr>
        <w:jc w:val="left"/>
        <w:rPr>
          <w:rFonts w:ascii="黑体" w:hAnsi="黑体" w:eastAsia="黑体" w:cs="黑体"/>
          <w:color w:val="auto"/>
          <w:sz w:val="32"/>
          <w:szCs w:val="32"/>
          <w:highlight w:val="none"/>
        </w:rPr>
        <w:sectPr>
          <w:footerReference r:id="rId3" w:type="default"/>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　　</w:t>
      </w:r>
      <w:r>
        <w:rPr>
          <w:rFonts w:hint="eastAsia" w:ascii="黑体" w:hAnsi="黑体" w:eastAsia="黑体" w:cs="黑体"/>
          <w:color w:val="auto"/>
          <w:sz w:val="48"/>
          <w:szCs w:val="48"/>
          <w:highlight w:val="none"/>
          <w:lang w:val="en-US" w:eastAsia="zh-CN"/>
        </w:rPr>
        <w:t>广播电视台</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numPr>
          <w:ilvl w:val="0"/>
          <w:numId w:val="0"/>
        </w:numPr>
        <w:spacing w:line="360" w:lineRule="auto"/>
        <w:ind w:firstLine="640" w:firstLineChars="200"/>
        <w:jc w:val="left"/>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一、部门职责</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台前县广播电视台主要职责是：负责</w:t>
      </w:r>
      <w:r>
        <w:rPr>
          <w:rFonts w:hint="eastAsia" w:ascii="仿宋_GB2312" w:hAnsi="仿宋_GB2312" w:eastAsia="仿宋_GB2312" w:cs="仿宋_GB2312"/>
          <w:sz w:val="32"/>
          <w:szCs w:val="32"/>
        </w:rPr>
        <w:t>运用广播电视宣传手段，促进社会经济文化发展。播发广播电视新闻、专题节目及娱乐性节目。</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内设机构：</w:t>
      </w:r>
      <w:r>
        <w:rPr>
          <w:rFonts w:hint="eastAsia" w:ascii="仿宋_GB2312" w:hAnsi="仿宋_GB2312" w:eastAsia="仿宋_GB2312" w:cs="仿宋_GB2312"/>
          <w:sz w:val="32"/>
          <w:szCs w:val="32"/>
        </w:rPr>
        <w:t>台前县广播电视台内设机构为电视台和电台两个。</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二、机构设置</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本部门没有独立核算的下级预算单位，部门本级</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即汇总</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p>
    <w:p>
      <w:pPr>
        <w:jc w:val="left"/>
        <w:rPr>
          <w:rFonts w:ascii="黑体" w:hAnsi="黑体" w:eastAsia="黑体" w:cs="黑体"/>
          <w:sz w:val="32"/>
          <w:szCs w:val="32"/>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center"/>
        <w:outlineLvl w:val="9"/>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w:t>
      </w:r>
    </w:p>
    <w:p>
      <w:pPr>
        <w:jc w:val="center"/>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2017年度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720" w:right="720" w:bottom="720" w:left="720" w:header="720" w:footer="720" w:gutter="0"/>
          <w:pgNumType w:fmt="numberInDash"/>
          <w:cols w:space="720" w:num="1"/>
          <w:docGrid w:type="lines" w:linePitch="312" w:charSpace="0"/>
        </w:sectPr>
      </w:pPr>
    </w:p>
    <w:tbl>
      <w:tblPr>
        <w:tblStyle w:val="5"/>
        <w:tblW w:w="1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23"/>
        <w:gridCol w:w="502"/>
        <w:gridCol w:w="3468"/>
        <w:gridCol w:w="3423"/>
        <w:gridCol w:w="502"/>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066" w:type="dxa"/>
            <w:gridSpan w:val="6"/>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423" w:type="dxa"/>
            <w:shd w:val="clear" w:color="auto" w:fill="auto"/>
            <w:vAlign w:val="bottom"/>
          </w:tcPr>
          <w:p>
            <w:pPr>
              <w:rPr>
                <w:rFonts w:hint="default" w:ascii="Arial" w:hAnsi="Arial" w:cs="Arial"/>
                <w:i w:val="0"/>
                <w:color w:val="000000"/>
                <w:sz w:val="20"/>
                <w:szCs w:val="20"/>
                <w:u w:val="none"/>
              </w:rPr>
            </w:pPr>
          </w:p>
        </w:tc>
        <w:tc>
          <w:tcPr>
            <w:tcW w:w="502" w:type="dxa"/>
            <w:shd w:val="clear" w:color="auto" w:fill="auto"/>
            <w:vAlign w:val="bottom"/>
          </w:tcPr>
          <w:p>
            <w:pPr>
              <w:rPr>
                <w:rFonts w:hint="default" w:ascii="Arial" w:hAnsi="Arial" w:cs="Arial"/>
                <w:i w:val="0"/>
                <w:color w:val="000000"/>
                <w:sz w:val="20"/>
                <w:szCs w:val="20"/>
                <w:u w:val="none"/>
              </w:rPr>
            </w:pPr>
          </w:p>
        </w:tc>
        <w:tc>
          <w:tcPr>
            <w:tcW w:w="3468" w:type="dxa"/>
            <w:shd w:val="clear" w:color="auto" w:fill="auto"/>
            <w:vAlign w:val="bottom"/>
          </w:tcPr>
          <w:p>
            <w:pPr>
              <w:rPr>
                <w:rFonts w:hint="default" w:ascii="Arial" w:hAnsi="Arial" w:cs="Arial"/>
                <w:i w:val="0"/>
                <w:color w:val="000000"/>
                <w:sz w:val="20"/>
                <w:szCs w:val="20"/>
                <w:u w:val="none"/>
              </w:rPr>
            </w:pPr>
          </w:p>
        </w:tc>
        <w:tc>
          <w:tcPr>
            <w:tcW w:w="3423" w:type="dxa"/>
            <w:shd w:val="clear" w:color="auto" w:fill="auto"/>
            <w:vAlign w:val="bottom"/>
          </w:tcPr>
          <w:p>
            <w:pPr>
              <w:rPr>
                <w:rFonts w:hint="default" w:ascii="Arial" w:hAnsi="Arial" w:cs="Arial"/>
                <w:i w:val="0"/>
                <w:color w:val="000000"/>
                <w:sz w:val="20"/>
                <w:szCs w:val="20"/>
                <w:u w:val="none"/>
              </w:rPr>
            </w:pPr>
          </w:p>
        </w:tc>
        <w:tc>
          <w:tcPr>
            <w:tcW w:w="502" w:type="dxa"/>
            <w:shd w:val="clear" w:color="auto" w:fill="auto"/>
            <w:vAlign w:val="bottom"/>
          </w:tcPr>
          <w:p>
            <w:pPr>
              <w:rPr>
                <w:rFonts w:hint="default" w:ascii="Arial" w:hAnsi="Arial" w:cs="Arial"/>
                <w:i w:val="0"/>
                <w:color w:val="000000"/>
                <w:sz w:val="20"/>
                <w:szCs w:val="20"/>
                <w:u w:val="none"/>
              </w:rPr>
            </w:pPr>
          </w:p>
        </w:tc>
        <w:tc>
          <w:tcPr>
            <w:tcW w:w="274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423"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tc>
        <w:tc>
          <w:tcPr>
            <w:tcW w:w="502" w:type="dxa"/>
            <w:shd w:val="clear" w:color="auto" w:fill="auto"/>
            <w:vAlign w:val="bottom"/>
          </w:tcPr>
          <w:p>
            <w:pPr>
              <w:rPr>
                <w:rFonts w:hint="default" w:ascii="Arial" w:hAnsi="Arial" w:cs="Arial"/>
                <w:i w:val="0"/>
                <w:color w:val="000000"/>
                <w:sz w:val="20"/>
                <w:szCs w:val="20"/>
                <w:u w:val="none"/>
              </w:rPr>
            </w:pPr>
          </w:p>
        </w:tc>
        <w:tc>
          <w:tcPr>
            <w:tcW w:w="3468" w:type="dxa"/>
            <w:shd w:val="clear" w:color="auto" w:fill="auto"/>
            <w:vAlign w:val="bottom"/>
          </w:tcPr>
          <w:p>
            <w:pPr>
              <w:rPr>
                <w:rFonts w:hint="default" w:ascii="Arial" w:hAnsi="Arial" w:cs="Arial"/>
                <w:i w:val="0"/>
                <w:color w:val="000000"/>
                <w:sz w:val="20"/>
                <w:szCs w:val="20"/>
                <w:u w:val="none"/>
              </w:rPr>
            </w:pPr>
          </w:p>
        </w:tc>
        <w:tc>
          <w:tcPr>
            <w:tcW w:w="3423" w:type="dxa"/>
            <w:shd w:val="clear" w:color="auto" w:fill="auto"/>
            <w:vAlign w:val="bottom"/>
          </w:tcPr>
          <w:p>
            <w:pPr>
              <w:rPr>
                <w:rFonts w:hint="default" w:ascii="Arial" w:hAnsi="Arial" w:cs="Arial"/>
                <w:i w:val="0"/>
                <w:color w:val="000000"/>
                <w:sz w:val="20"/>
                <w:szCs w:val="20"/>
                <w:u w:val="none"/>
              </w:rPr>
            </w:pPr>
          </w:p>
        </w:tc>
        <w:tc>
          <w:tcPr>
            <w:tcW w:w="502" w:type="dxa"/>
            <w:shd w:val="clear" w:color="auto" w:fill="auto"/>
            <w:vAlign w:val="bottom"/>
          </w:tcPr>
          <w:p>
            <w:pPr>
              <w:rPr>
                <w:rFonts w:hint="default" w:ascii="Arial" w:hAnsi="Arial" w:cs="Arial"/>
                <w:i w:val="0"/>
                <w:color w:val="000000"/>
                <w:sz w:val="20"/>
                <w:szCs w:val="20"/>
                <w:u w:val="none"/>
              </w:rPr>
            </w:pPr>
          </w:p>
        </w:tc>
        <w:tc>
          <w:tcPr>
            <w:tcW w:w="274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7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673"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2"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2"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74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46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42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74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46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342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74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66"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widowControl/>
        <w:jc w:val="left"/>
        <w:rPr>
          <w:rFonts w:hint="eastAsia"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br w:type="page"/>
      </w:r>
    </w:p>
    <w:tbl>
      <w:tblPr>
        <w:tblStyle w:val="5"/>
        <w:tblW w:w="13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1"/>
        <w:gridCol w:w="1801"/>
        <w:gridCol w:w="960"/>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3740" w:type="dxa"/>
            <w:gridSpan w:val="11"/>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801"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740" w:type="dxa"/>
            <w:gridSpan w:val="11"/>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0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345.51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345.51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新闻出版广播影视</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其他新闻出版广播影视支出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8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740"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tbl>
      <w:tblPr>
        <w:tblStyle w:val="5"/>
        <w:tblW w:w="12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754"/>
        <w:gridCol w:w="808"/>
        <w:gridCol w:w="3931"/>
        <w:gridCol w:w="1415"/>
        <w:gridCol w:w="1155"/>
        <w:gridCol w:w="1005"/>
        <w:gridCol w:w="960"/>
        <w:gridCol w:w="915"/>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780"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86" w:type="dxa"/>
            <w:shd w:val="clear" w:color="auto" w:fill="auto"/>
            <w:vAlign w:val="bottom"/>
          </w:tcPr>
          <w:p>
            <w:pPr>
              <w:rPr>
                <w:rFonts w:hint="default"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shd w:val="clear" w:color="auto" w:fill="auto"/>
            <w:vAlign w:val="bottom"/>
          </w:tcPr>
          <w:p>
            <w:pPr>
              <w:rPr>
                <w:rFonts w:hint="default" w:ascii="Arial" w:hAnsi="Arial" w:cs="Arial"/>
                <w:i w:val="0"/>
                <w:color w:val="000000"/>
                <w:sz w:val="20"/>
                <w:szCs w:val="20"/>
                <w:u w:val="none"/>
              </w:rPr>
            </w:pPr>
          </w:p>
        </w:tc>
        <w:tc>
          <w:tcPr>
            <w:tcW w:w="1415" w:type="dxa"/>
            <w:shd w:val="clear" w:color="auto" w:fill="auto"/>
            <w:vAlign w:val="bottom"/>
          </w:tcPr>
          <w:p>
            <w:pPr>
              <w:rPr>
                <w:rFonts w:hint="default" w:ascii="Arial" w:hAnsi="Arial" w:cs="Arial"/>
                <w:i w:val="0"/>
                <w:color w:val="000000"/>
                <w:sz w:val="20"/>
                <w:szCs w:val="20"/>
                <w:u w:val="none"/>
              </w:rPr>
            </w:pPr>
          </w:p>
        </w:tc>
        <w:tc>
          <w:tcPr>
            <w:tcW w:w="1155" w:type="dxa"/>
            <w:shd w:val="clear" w:color="auto" w:fill="auto"/>
            <w:vAlign w:val="bottom"/>
          </w:tcPr>
          <w:p>
            <w:pPr>
              <w:rPr>
                <w:rFonts w:hint="default" w:ascii="Arial" w:hAnsi="Arial" w:cs="Arial"/>
                <w:i w:val="0"/>
                <w:color w:val="000000"/>
                <w:sz w:val="20"/>
                <w:szCs w:val="20"/>
                <w:u w:val="none"/>
              </w:rPr>
            </w:pPr>
          </w:p>
        </w:tc>
        <w:tc>
          <w:tcPr>
            <w:tcW w:w="1005"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15" w:type="dxa"/>
            <w:shd w:val="clear" w:color="auto" w:fill="auto"/>
            <w:vAlign w:val="bottom"/>
          </w:tcPr>
          <w:p>
            <w:pPr>
              <w:rPr>
                <w:rFonts w:hint="default" w:ascii="Arial" w:hAnsi="Arial" w:cs="Arial"/>
                <w:i w:val="0"/>
                <w:color w:val="000000"/>
                <w:sz w:val="20"/>
                <w:szCs w:val="20"/>
                <w:u w:val="none"/>
              </w:rPr>
            </w:pPr>
          </w:p>
        </w:tc>
        <w:tc>
          <w:tcPr>
            <w:tcW w:w="115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2780" w:type="dxa"/>
            <w:gridSpan w:val="10"/>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1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5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0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1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15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3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1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1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3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1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345.51</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345.51</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新闻出版广播影视</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323.99</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323.99</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2070401</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其他新闻出版广播影视支出</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9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4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1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0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278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widowControl/>
        <w:jc w:val="left"/>
        <w:rPr>
          <w:rFonts w:hint="eastAsia" w:ascii="黑体" w:hAnsi="宋体" w:eastAsia="黑体" w:cs="宋体"/>
          <w:color w:val="auto"/>
          <w:kern w:val="0"/>
          <w:sz w:val="28"/>
          <w:szCs w:val="28"/>
          <w:highlight w:val="none"/>
          <w:lang w:val="en-US" w:eastAsia="zh-CN"/>
        </w:rPr>
      </w:pPr>
    </w:p>
    <w:tbl>
      <w:tblPr>
        <w:tblStyle w:val="5"/>
        <w:tblW w:w="131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22"/>
        <w:gridCol w:w="487"/>
        <w:gridCol w:w="2678"/>
        <w:gridCol w:w="2622"/>
        <w:gridCol w:w="487"/>
        <w:gridCol w:w="1424"/>
        <w:gridCol w:w="890"/>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3165" w:type="dxa"/>
            <w:gridSpan w:val="8"/>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622" w:type="dxa"/>
            <w:shd w:val="clear" w:color="auto" w:fill="auto"/>
            <w:vAlign w:val="bottom"/>
          </w:tcPr>
          <w:p>
            <w:pPr>
              <w:rPr>
                <w:rFonts w:hint="default" w:ascii="Arial" w:hAnsi="Arial" w:cs="Arial"/>
                <w:i w:val="0"/>
                <w:color w:val="000000"/>
                <w:sz w:val="20"/>
                <w:szCs w:val="20"/>
                <w:u w:val="none"/>
              </w:rPr>
            </w:pPr>
          </w:p>
        </w:tc>
        <w:tc>
          <w:tcPr>
            <w:tcW w:w="487" w:type="dxa"/>
            <w:shd w:val="clear" w:color="auto" w:fill="auto"/>
            <w:vAlign w:val="bottom"/>
          </w:tcPr>
          <w:p>
            <w:pPr>
              <w:rPr>
                <w:rFonts w:hint="default" w:ascii="Arial" w:hAnsi="Arial" w:cs="Arial"/>
                <w:i w:val="0"/>
                <w:color w:val="000000"/>
                <w:sz w:val="20"/>
                <w:szCs w:val="20"/>
                <w:u w:val="none"/>
              </w:rPr>
            </w:pPr>
          </w:p>
        </w:tc>
        <w:tc>
          <w:tcPr>
            <w:tcW w:w="2678" w:type="dxa"/>
            <w:shd w:val="clear" w:color="auto" w:fill="auto"/>
            <w:vAlign w:val="bottom"/>
          </w:tcPr>
          <w:p>
            <w:pPr>
              <w:rPr>
                <w:rFonts w:hint="default" w:ascii="Arial" w:hAnsi="Arial" w:cs="Arial"/>
                <w:i w:val="0"/>
                <w:color w:val="000000"/>
                <w:sz w:val="20"/>
                <w:szCs w:val="20"/>
                <w:u w:val="none"/>
              </w:rPr>
            </w:pPr>
          </w:p>
        </w:tc>
        <w:tc>
          <w:tcPr>
            <w:tcW w:w="2622" w:type="dxa"/>
            <w:shd w:val="clear" w:color="auto" w:fill="auto"/>
            <w:vAlign w:val="bottom"/>
          </w:tcPr>
          <w:p>
            <w:pPr>
              <w:rPr>
                <w:rFonts w:hint="default" w:ascii="Arial" w:hAnsi="Arial" w:cs="Arial"/>
                <w:i w:val="0"/>
                <w:color w:val="000000"/>
                <w:sz w:val="20"/>
                <w:szCs w:val="20"/>
                <w:u w:val="none"/>
              </w:rPr>
            </w:pPr>
          </w:p>
        </w:tc>
        <w:tc>
          <w:tcPr>
            <w:tcW w:w="487" w:type="dxa"/>
            <w:shd w:val="clear" w:color="auto" w:fill="auto"/>
            <w:vAlign w:val="bottom"/>
          </w:tcPr>
          <w:p>
            <w:pPr>
              <w:rPr>
                <w:rFonts w:hint="default" w:ascii="Arial" w:hAnsi="Arial" w:cs="Arial"/>
                <w:i w:val="0"/>
                <w:color w:val="000000"/>
                <w:sz w:val="20"/>
                <w:szCs w:val="20"/>
                <w:u w:val="none"/>
              </w:rPr>
            </w:pPr>
          </w:p>
        </w:tc>
        <w:tc>
          <w:tcPr>
            <w:tcW w:w="1424" w:type="dxa"/>
            <w:shd w:val="clear" w:color="auto" w:fill="auto"/>
            <w:vAlign w:val="bottom"/>
          </w:tcPr>
          <w:p>
            <w:pPr>
              <w:rPr>
                <w:rFonts w:hint="default" w:ascii="Arial" w:hAnsi="Arial" w:cs="Arial"/>
                <w:i w:val="0"/>
                <w:color w:val="000000"/>
                <w:sz w:val="20"/>
                <w:szCs w:val="20"/>
                <w:u w:val="none"/>
              </w:rPr>
            </w:pPr>
          </w:p>
        </w:tc>
        <w:tc>
          <w:tcPr>
            <w:tcW w:w="890" w:type="dxa"/>
            <w:shd w:val="clear" w:color="auto" w:fill="auto"/>
            <w:vAlign w:val="bottom"/>
          </w:tcPr>
          <w:p>
            <w:pPr>
              <w:rPr>
                <w:rFonts w:hint="default" w:ascii="Arial" w:hAnsi="Arial" w:cs="Arial"/>
                <w:i w:val="0"/>
                <w:color w:val="000000"/>
                <w:sz w:val="20"/>
                <w:szCs w:val="20"/>
                <w:u w:val="none"/>
              </w:rPr>
            </w:pPr>
          </w:p>
        </w:tc>
        <w:tc>
          <w:tcPr>
            <w:tcW w:w="195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87" w:type="dxa"/>
            <w:gridSpan w:val="3"/>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tc>
        <w:tc>
          <w:tcPr>
            <w:tcW w:w="2622" w:type="dxa"/>
            <w:shd w:val="clear" w:color="auto" w:fill="auto"/>
            <w:vAlign w:val="bottom"/>
          </w:tcPr>
          <w:p>
            <w:pPr>
              <w:rPr>
                <w:rFonts w:hint="default" w:ascii="Arial" w:hAnsi="Arial" w:cs="Arial"/>
                <w:i w:val="0"/>
                <w:color w:val="000000"/>
                <w:sz w:val="20"/>
                <w:szCs w:val="20"/>
                <w:u w:val="none"/>
              </w:rPr>
            </w:pPr>
          </w:p>
        </w:tc>
        <w:tc>
          <w:tcPr>
            <w:tcW w:w="487" w:type="dxa"/>
            <w:shd w:val="clear" w:color="auto" w:fill="auto"/>
            <w:vAlign w:val="bottom"/>
          </w:tcPr>
          <w:p>
            <w:pPr>
              <w:rPr>
                <w:rFonts w:hint="default" w:ascii="Arial" w:hAnsi="Arial" w:cs="Arial"/>
                <w:i w:val="0"/>
                <w:color w:val="000000"/>
                <w:sz w:val="20"/>
                <w:szCs w:val="20"/>
                <w:u w:val="none"/>
              </w:rPr>
            </w:pPr>
          </w:p>
        </w:tc>
        <w:tc>
          <w:tcPr>
            <w:tcW w:w="1424" w:type="dxa"/>
            <w:shd w:val="clear" w:color="auto" w:fill="auto"/>
            <w:vAlign w:val="bottom"/>
          </w:tcPr>
          <w:p>
            <w:pPr>
              <w:rPr>
                <w:rFonts w:hint="default" w:ascii="Arial" w:hAnsi="Arial" w:cs="Arial"/>
                <w:i w:val="0"/>
                <w:color w:val="000000"/>
                <w:sz w:val="20"/>
                <w:szCs w:val="20"/>
                <w:u w:val="none"/>
              </w:rPr>
            </w:pPr>
          </w:p>
        </w:tc>
        <w:tc>
          <w:tcPr>
            <w:tcW w:w="890" w:type="dxa"/>
            <w:shd w:val="clear" w:color="auto" w:fill="auto"/>
            <w:vAlign w:val="bottom"/>
          </w:tcPr>
          <w:p>
            <w:pPr>
              <w:rPr>
                <w:rFonts w:hint="default" w:ascii="Arial" w:hAnsi="Arial" w:cs="Arial"/>
                <w:i w:val="0"/>
                <w:color w:val="000000"/>
                <w:sz w:val="20"/>
                <w:szCs w:val="20"/>
                <w:u w:val="none"/>
              </w:rPr>
            </w:pPr>
          </w:p>
        </w:tc>
        <w:tc>
          <w:tcPr>
            <w:tcW w:w="195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7378"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2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8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67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62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8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2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9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95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62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7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9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5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7"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7"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2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2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9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2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2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9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67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2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2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9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26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2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8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345.51</w:t>
            </w:r>
          </w:p>
        </w:tc>
        <w:tc>
          <w:tcPr>
            <w:tcW w:w="195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65"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br w:type="page"/>
      </w:r>
    </w:p>
    <w:tbl>
      <w:tblPr>
        <w:tblStyle w:val="5"/>
        <w:tblW w:w="122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60"/>
        <w:gridCol w:w="3411"/>
        <w:gridCol w:w="3622"/>
        <w:gridCol w:w="2097"/>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0" w:hRule="atLeast"/>
        </w:trPr>
        <w:tc>
          <w:tcPr>
            <w:tcW w:w="12269" w:type="dxa"/>
            <w:gridSpan w:val="5"/>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11190" w:type="dxa"/>
            <w:gridSpan w:val="4"/>
            <w:shd w:val="clear" w:color="auto" w:fill="auto"/>
            <w:vAlign w:val="bottom"/>
          </w:tcPr>
          <w:p>
            <w:pPr>
              <w:rPr>
                <w:rFonts w:hint="default" w:ascii="Arial" w:hAnsi="Arial" w:cs="Arial"/>
                <w:i w:val="0"/>
                <w:color w:val="000000"/>
                <w:sz w:val="20"/>
                <w:szCs w:val="20"/>
                <w:u w:val="none"/>
              </w:rPr>
            </w:pPr>
          </w:p>
        </w:tc>
        <w:tc>
          <w:tcPr>
            <w:tcW w:w="107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5471" w:type="dxa"/>
            <w:gridSpan w:val="2"/>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tc>
        <w:tc>
          <w:tcPr>
            <w:tcW w:w="3622" w:type="dxa"/>
            <w:shd w:val="clear" w:color="auto" w:fill="auto"/>
            <w:vAlign w:val="bottom"/>
          </w:tcPr>
          <w:p>
            <w:pPr>
              <w:rPr>
                <w:rFonts w:hint="default" w:ascii="Arial" w:hAnsi="Arial" w:cs="Arial"/>
                <w:i w:val="0"/>
                <w:color w:val="000000"/>
                <w:sz w:val="20"/>
                <w:szCs w:val="20"/>
                <w:u w:val="none"/>
              </w:rPr>
            </w:pPr>
          </w:p>
        </w:tc>
        <w:tc>
          <w:tcPr>
            <w:tcW w:w="3176"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5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98"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206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1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2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9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7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20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1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2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9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20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41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2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9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547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547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345.51</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345.51</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336.39</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新闻出版广播影视</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323.99</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323.99</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2070401</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2070499</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其他新闻出版广播影视支出</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06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4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3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209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107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2269"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p>
            <w:pPr>
              <w:tabs>
                <w:tab w:val="left" w:pos="784"/>
              </w:tabs>
              <w:jc w:val="left"/>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ab/>
            </w:r>
          </w:p>
        </w:tc>
      </w:tr>
    </w:tbl>
    <w:p>
      <w:pPr>
        <w:tabs>
          <w:tab w:val="left" w:pos="784"/>
        </w:tabs>
        <w:jc w:val="left"/>
        <w:rPr>
          <w:rFonts w:hint="eastAsia" w:ascii="宋体" w:hAnsi="宋体" w:cs="宋体"/>
          <w:i w:val="0"/>
          <w:color w:val="000000"/>
          <w:kern w:val="0"/>
          <w:sz w:val="22"/>
          <w:szCs w:val="22"/>
          <w:u w:val="none"/>
          <w:lang w:val="en-US" w:eastAsia="zh-CN" w:bidi="ar"/>
        </w:rPr>
        <w:sectPr>
          <w:pgSz w:w="16838" w:h="11906" w:orient="landscape"/>
          <w:pgMar w:top="1440" w:right="1800" w:bottom="1440" w:left="1800" w:header="720" w:footer="720" w:gutter="0"/>
          <w:pgNumType w:fmt="numberInDash"/>
          <w:cols w:space="720" w:num="1"/>
          <w:docGrid w:type="lines" w:linePitch="312" w:charSpace="0"/>
        </w:sectPr>
      </w:pPr>
    </w:p>
    <w:tbl>
      <w:tblPr>
        <w:tblStyle w:val="5"/>
        <w:tblW w:w="143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
      <w:tblGrid>
        <w:gridCol w:w="839"/>
        <w:gridCol w:w="2760"/>
        <w:gridCol w:w="1002"/>
        <w:gridCol w:w="839"/>
        <w:gridCol w:w="2370"/>
        <w:gridCol w:w="1284"/>
        <w:gridCol w:w="1055"/>
        <w:gridCol w:w="2699"/>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15" w:type="dxa"/>
            <w:left w:w="15" w:type="dxa"/>
            <w:bottom w:w="15" w:type="dxa"/>
            <w:right w:w="15" w:type="dxa"/>
          </w:tblCellMar>
        </w:tblPrEx>
        <w:trPr>
          <w:trHeight w:val="390" w:hRule="atLeast"/>
        </w:trPr>
        <w:tc>
          <w:tcPr>
            <w:tcW w:w="14392" w:type="dxa"/>
            <w:gridSpan w:val="9"/>
            <w:shd w:val="clear" w:color="auto" w:fill="FFFFFF" w:themeFill="background1"/>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shd w:val="clear" w:color="auto" w:fill="FFFFFF" w:themeFill="background1"/>
            <w:vAlign w:val="center"/>
          </w:tcPr>
          <w:p>
            <w:pPr>
              <w:rPr>
                <w:rFonts w:hint="eastAsia" w:ascii="宋体" w:hAnsi="宋体" w:eastAsia="宋体" w:cs="宋体"/>
                <w:i w:val="0"/>
                <w:color w:val="000000"/>
                <w:sz w:val="22"/>
                <w:szCs w:val="22"/>
                <w:u w:val="none"/>
              </w:rPr>
            </w:pPr>
          </w:p>
        </w:tc>
        <w:tc>
          <w:tcPr>
            <w:tcW w:w="2760" w:type="dxa"/>
            <w:shd w:val="clear" w:color="auto" w:fill="FFFFFF" w:themeFill="background1"/>
            <w:vAlign w:val="center"/>
          </w:tcPr>
          <w:p>
            <w:pPr>
              <w:rPr>
                <w:rFonts w:hint="eastAsia" w:ascii="宋体" w:hAnsi="宋体" w:eastAsia="宋体" w:cs="宋体"/>
                <w:i w:val="0"/>
                <w:color w:val="000000"/>
                <w:sz w:val="22"/>
                <w:szCs w:val="22"/>
                <w:u w:val="none"/>
              </w:rPr>
            </w:pPr>
          </w:p>
        </w:tc>
        <w:tc>
          <w:tcPr>
            <w:tcW w:w="1002" w:type="dxa"/>
            <w:shd w:val="clear" w:color="auto" w:fill="FFFFFF" w:themeFill="background1"/>
            <w:vAlign w:val="center"/>
          </w:tcPr>
          <w:p>
            <w:pPr>
              <w:rPr>
                <w:rFonts w:hint="eastAsia" w:ascii="宋体" w:hAnsi="宋体" w:eastAsia="宋体" w:cs="宋体"/>
                <w:i w:val="0"/>
                <w:color w:val="000000"/>
                <w:sz w:val="22"/>
                <w:szCs w:val="22"/>
                <w:u w:val="none"/>
              </w:rPr>
            </w:pPr>
          </w:p>
        </w:tc>
        <w:tc>
          <w:tcPr>
            <w:tcW w:w="839" w:type="dxa"/>
            <w:shd w:val="clear" w:color="auto" w:fill="FFFFFF" w:themeFill="background1"/>
            <w:vAlign w:val="center"/>
          </w:tcPr>
          <w:p>
            <w:pPr>
              <w:rPr>
                <w:rFonts w:hint="eastAsia" w:ascii="宋体" w:hAnsi="宋体" w:eastAsia="宋体" w:cs="宋体"/>
                <w:i w:val="0"/>
                <w:color w:val="000000"/>
                <w:sz w:val="22"/>
                <w:szCs w:val="22"/>
                <w:u w:val="none"/>
              </w:rPr>
            </w:pPr>
          </w:p>
        </w:tc>
        <w:tc>
          <w:tcPr>
            <w:tcW w:w="2370" w:type="dxa"/>
            <w:shd w:val="clear" w:color="auto" w:fill="FFFFFF" w:themeFill="background1"/>
            <w:vAlign w:val="center"/>
          </w:tcPr>
          <w:p>
            <w:pPr>
              <w:rPr>
                <w:rFonts w:hint="eastAsia" w:ascii="宋体" w:hAnsi="宋体" w:eastAsia="宋体" w:cs="宋体"/>
                <w:i w:val="0"/>
                <w:color w:val="000000"/>
                <w:sz w:val="22"/>
                <w:szCs w:val="22"/>
                <w:u w:val="none"/>
              </w:rPr>
            </w:pPr>
          </w:p>
        </w:tc>
        <w:tc>
          <w:tcPr>
            <w:tcW w:w="1284" w:type="dxa"/>
            <w:shd w:val="clear" w:color="auto" w:fill="FFFFFF" w:themeFill="background1"/>
            <w:vAlign w:val="center"/>
          </w:tcPr>
          <w:p>
            <w:pPr>
              <w:rPr>
                <w:rFonts w:hint="eastAsia" w:ascii="宋体" w:hAnsi="宋体" w:eastAsia="宋体" w:cs="宋体"/>
                <w:i w:val="0"/>
                <w:color w:val="000000"/>
                <w:sz w:val="22"/>
                <w:szCs w:val="22"/>
                <w:u w:val="none"/>
              </w:rPr>
            </w:pPr>
          </w:p>
        </w:tc>
        <w:tc>
          <w:tcPr>
            <w:tcW w:w="1055" w:type="dxa"/>
            <w:shd w:val="clear" w:color="auto" w:fill="FFFFFF" w:themeFill="background1"/>
            <w:vAlign w:val="center"/>
          </w:tcPr>
          <w:p>
            <w:pPr>
              <w:rPr>
                <w:rFonts w:hint="eastAsia" w:ascii="宋体" w:hAnsi="宋体" w:eastAsia="宋体" w:cs="宋体"/>
                <w:i w:val="0"/>
                <w:color w:val="000000"/>
                <w:sz w:val="22"/>
                <w:szCs w:val="22"/>
                <w:u w:val="none"/>
              </w:rPr>
            </w:pPr>
          </w:p>
        </w:tc>
        <w:tc>
          <w:tcPr>
            <w:tcW w:w="2699" w:type="dxa"/>
            <w:shd w:val="clear" w:color="auto" w:fill="FFFFFF" w:themeFill="background1"/>
            <w:vAlign w:val="center"/>
          </w:tcPr>
          <w:p>
            <w:pPr>
              <w:rPr>
                <w:rFonts w:hint="eastAsia" w:ascii="宋体" w:hAnsi="宋体" w:eastAsia="宋体" w:cs="宋体"/>
                <w:i w:val="0"/>
                <w:color w:val="000000"/>
                <w:sz w:val="22"/>
                <w:szCs w:val="22"/>
                <w:u w:val="none"/>
              </w:rPr>
            </w:pPr>
          </w:p>
        </w:tc>
        <w:tc>
          <w:tcPr>
            <w:tcW w:w="1544" w:type="dxa"/>
            <w:shd w:val="clear" w:color="auto" w:fill="FFFFFF" w:themeFill="background1"/>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0" w:type="dxa"/>
            <w:gridSpan w:val="5"/>
            <w:shd w:val="clear" w:color="auto" w:fill="FFFFFF" w:themeFill="background1"/>
            <w:vAlign w:val="bottom"/>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tc>
        <w:tc>
          <w:tcPr>
            <w:tcW w:w="1284" w:type="dxa"/>
            <w:shd w:val="clear" w:color="auto" w:fill="FFFFFF" w:themeFill="background1"/>
            <w:vAlign w:val="center"/>
          </w:tcPr>
          <w:p>
            <w:pPr>
              <w:rPr>
                <w:rFonts w:hint="eastAsia" w:ascii="宋体" w:hAnsi="宋体" w:eastAsia="宋体" w:cs="宋体"/>
                <w:i w:val="0"/>
                <w:color w:val="000000"/>
                <w:sz w:val="22"/>
                <w:szCs w:val="22"/>
                <w:u w:val="none"/>
              </w:rPr>
            </w:pPr>
          </w:p>
        </w:tc>
        <w:tc>
          <w:tcPr>
            <w:tcW w:w="1055" w:type="dxa"/>
            <w:shd w:val="clear" w:color="auto" w:fill="FFFFFF" w:themeFill="background1"/>
            <w:vAlign w:val="center"/>
          </w:tcPr>
          <w:p>
            <w:pPr>
              <w:rPr>
                <w:rFonts w:hint="eastAsia" w:ascii="宋体" w:hAnsi="宋体" w:eastAsia="宋体" w:cs="宋体"/>
                <w:i w:val="0"/>
                <w:color w:val="000000"/>
                <w:sz w:val="22"/>
                <w:szCs w:val="22"/>
                <w:u w:val="none"/>
              </w:rPr>
            </w:pPr>
          </w:p>
        </w:tc>
        <w:tc>
          <w:tcPr>
            <w:tcW w:w="2699" w:type="dxa"/>
            <w:shd w:val="clear" w:color="auto" w:fill="FFFFFF" w:themeFill="background1"/>
            <w:vAlign w:val="center"/>
          </w:tcPr>
          <w:p>
            <w:pPr>
              <w:rPr>
                <w:rFonts w:hint="eastAsia" w:ascii="宋体" w:hAnsi="宋体" w:eastAsia="宋体" w:cs="宋体"/>
                <w:i w:val="0"/>
                <w:color w:val="000000"/>
                <w:sz w:val="22"/>
                <w:szCs w:val="22"/>
                <w:u w:val="none"/>
              </w:rPr>
            </w:pPr>
          </w:p>
        </w:tc>
        <w:tc>
          <w:tcPr>
            <w:tcW w:w="1544" w:type="dxa"/>
            <w:shd w:val="clear" w:color="auto" w:fill="FFFFFF" w:themeFill="background1"/>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60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791" w:type="dxa"/>
            <w:gridSpan w:val="6"/>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9" w:type="dxa"/>
            <w:vMerge w:val="restart"/>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76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02"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839"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370"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84"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055"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2699"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4" w:type="dxa"/>
            <w:vMerge w:val="restart"/>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9"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76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002"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839"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370"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284"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055"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699"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44" w:type="dxa"/>
            <w:vMerge w:val="continue"/>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234.90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83.69</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158.10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30104</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26.92</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31020</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产权参股</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对企事业单位的补贴</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30401</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企业政策性补贴</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30402</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事业单位补贴</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30403</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财政贴息</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生产补贴</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30499</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其他对企事业单位的补贴</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债务利息支出</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30312</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提租补贴</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0.28</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30313</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30707</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30314</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采暖补贴</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30315</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物业服务补贴</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1055"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69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76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其他对个人和家庭的补助支出</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105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699"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44"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9" w:type="dxa"/>
            <w:tcBorders>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760"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002"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839"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70"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28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1055"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2699"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c>
          <w:tcPr>
            <w:tcW w:w="1544" w:type="dxa"/>
            <w:tcBorders>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599" w:type="dxa"/>
            <w:gridSpan w:val="2"/>
            <w:tcBorders>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002"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261.82</w:t>
            </w:r>
          </w:p>
        </w:tc>
        <w:tc>
          <w:tcPr>
            <w:tcW w:w="8247" w:type="dxa"/>
            <w:gridSpan w:val="5"/>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44" w:type="dxa"/>
            <w:tcBorders>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392" w:type="dxa"/>
            <w:gridSpan w:val="9"/>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br w:type="page"/>
      </w:r>
    </w:p>
    <w:tbl>
      <w:tblPr>
        <w:tblStyle w:val="5"/>
        <w:tblW w:w="13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1"/>
        <w:gridCol w:w="1112"/>
        <w:gridCol w:w="1111"/>
        <w:gridCol w:w="1112"/>
        <w:gridCol w:w="1113"/>
        <w:gridCol w:w="1111"/>
        <w:gridCol w:w="1111"/>
        <w:gridCol w:w="1112"/>
        <w:gridCol w:w="1111"/>
        <w:gridCol w:w="1112"/>
        <w:gridCol w:w="1113"/>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5" w:hRule="atLeast"/>
        </w:trPr>
        <w:tc>
          <w:tcPr>
            <w:tcW w:w="13340" w:type="dxa"/>
            <w:gridSpan w:val="12"/>
            <w:shd w:val="clear" w:color="auto" w:fill="auto"/>
            <w:vAlign w:val="bottom"/>
          </w:tcPr>
          <w:p>
            <w:pPr>
              <w:jc w:val="center"/>
              <w:rPr>
                <w:rFonts w:hint="default" w:ascii="Arial" w:hAnsi="Arial" w:eastAsia="宋体"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1111" w:type="dxa"/>
            <w:shd w:val="clear" w:color="auto" w:fill="auto"/>
            <w:vAlign w:val="bottom"/>
          </w:tcPr>
          <w:p>
            <w:pPr>
              <w:rPr>
                <w:rFonts w:hint="default" w:ascii="Arial" w:hAnsi="Arial" w:eastAsia="宋体" w:cs="Arial"/>
                <w:i w:val="0"/>
                <w:color w:val="000000"/>
                <w:sz w:val="20"/>
                <w:szCs w:val="20"/>
                <w:u w:val="none"/>
              </w:rPr>
            </w:pPr>
          </w:p>
        </w:tc>
        <w:tc>
          <w:tcPr>
            <w:tcW w:w="1112" w:type="dxa"/>
            <w:shd w:val="clear" w:color="auto" w:fill="auto"/>
            <w:vAlign w:val="bottom"/>
          </w:tcPr>
          <w:p>
            <w:pPr>
              <w:rPr>
                <w:rFonts w:hint="default" w:ascii="Arial" w:hAnsi="Arial" w:eastAsia="宋体" w:cs="Arial"/>
                <w:i w:val="0"/>
                <w:color w:val="000000"/>
                <w:sz w:val="20"/>
                <w:szCs w:val="20"/>
                <w:u w:val="none"/>
              </w:rPr>
            </w:pPr>
          </w:p>
        </w:tc>
        <w:tc>
          <w:tcPr>
            <w:tcW w:w="1111" w:type="dxa"/>
            <w:shd w:val="clear" w:color="auto" w:fill="auto"/>
            <w:vAlign w:val="bottom"/>
          </w:tcPr>
          <w:p>
            <w:pPr>
              <w:rPr>
                <w:rFonts w:hint="default" w:ascii="Arial" w:hAnsi="Arial" w:eastAsia="宋体" w:cs="Arial"/>
                <w:i w:val="0"/>
                <w:color w:val="000000"/>
                <w:sz w:val="20"/>
                <w:szCs w:val="20"/>
                <w:u w:val="none"/>
              </w:rPr>
            </w:pPr>
          </w:p>
        </w:tc>
        <w:tc>
          <w:tcPr>
            <w:tcW w:w="1112" w:type="dxa"/>
            <w:shd w:val="clear" w:color="auto" w:fill="auto"/>
            <w:vAlign w:val="bottom"/>
          </w:tcPr>
          <w:p>
            <w:pPr>
              <w:rPr>
                <w:rFonts w:hint="default" w:ascii="Arial" w:hAnsi="Arial" w:eastAsia="宋体" w:cs="Arial"/>
                <w:i w:val="0"/>
                <w:color w:val="000000"/>
                <w:sz w:val="20"/>
                <w:szCs w:val="20"/>
                <w:u w:val="none"/>
              </w:rPr>
            </w:pPr>
          </w:p>
        </w:tc>
        <w:tc>
          <w:tcPr>
            <w:tcW w:w="1113" w:type="dxa"/>
            <w:shd w:val="clear" w:color="auto" w:fill="auto"/>
            <w:vAlign w:val="bottom"/>
          </w:tcPr>
          <w:p>
            <w:pPr>
              <w:rPr>
                <w:rFonts w:hint="default" w:ascii="Arial" w:hAnsi="Arial" w:eastAsia="宋体" w:cs="Arial"/>
                <w:i w:val="0"/>
                <w:color w:val="000000"/>
                <w:sz w:val="20"/>
                <w:szCs w:val="20"/>
                <w:u w:val="none"/>
              </w:rPr>
            </w:pPr>
          </w:p>
        </w:tc>
        <w:tc>
          <w:tcPr>
            <w:tcW w:w="1111" w:type="dxa"/>
            <w:shd w:val="clear" w:color="auto" w:fill="auto"/>
            <w:vAlign w:val="bottom"/>
          </w:tcPr>
          <w:p>
            <w:pPr>
              <w:rPr>
                <w:rFonts w:hint="default" w:ascii="Arial" w:hAnsi="Arial" w:eastAsia="宋体" w:cs="Arial"/>
                <w:i w:val="0"/>
                <w:color w:val="000000"/>
                <w:sz w:val="20"/>
                <w:szCs w:val="20"/>
                <w:u w:val="none"/>
              </w:rPr>
            </w:pPr>
          </w:p>
        </w:tc>
        <w:tc>
          <w:tcPr>
            <w:tcW w:w="1111" w:type="dxa"/>
            <w:shd w:val="clear" w:color="auto" w:fill="auto"/>
            <w:vAlign w:val="bottom"/>
          </w:tcPr>
          <w:p>
            <w:pPr>
              <w:rPr>
                <w:rFonts w:hint="default" w:ascii="Arial" w:hAnsi="Arial" w:eastAsia="宋体" w:cs="Arial"/>
                <w:i w:val="0"/>
                <w:color w:val="000000"/>
                <w:sz w:val="20"/>
                <w:szCs w:val="20"/>
                <w:u w:val="none"/>
              </w:rPr>
            </w:pPr>
          </w:p>
        </w:tc>
        <w:tc>
          <w:tcPr>
            <w:tcW w:w="1112" w:type="dxa"/>
            <w:shd w:val="clear" w:color="auto" w:fill="auto"/>
            <w:vAlign w:val="bottom"/>
          </w:tcPr>
          <w:p>
            <w:pPr>
              <w:rPr>
                <w:rFonts w:hint="default" w:ascii="Arial" w:hAnsi="Arial" w:eastAsia="宋体" w:cs="Arial"/>
                <w:i w:val="0"/>
                <w:color w:val="000000"/>
                <w:sz w:val="20"/>
                <w:szCs w:val="20"/>
                <w:u w:val="none"/>
              </w:rPr>
            </w:pPr>
          </w:p>
        </w:tc>
        <w:tc>
          <w:tcPr>
            <w:tcW w:w="1111" w:type="dxa"/>
            <w:shd w:val="clear" w:color="auto" w:fill="auto"/>
            <w:vAlign w:val="bottom"/>
          </w:tcPr>
          <w:p>
            <w:pPr>
              <w:rPr>
                <w:rFonts w:hint="default" w:ascii="Arial" w:hAnsi="Arial" w:eastAsia="宋体" w:cs="Arial"/>
                <w:i w:val="0"/>
                <w:color w:val="000000"/>
                <w:sz w:val="20"/>
                <w:szCs w:val="20"/>
                <w:u w:val="none"/>
              </w:rPr>
            </w:pPr>
          </w:p>
        </w:tc>
        <w:tc>
          <w:tcPr>
            <w:tcW w:w="1112" w:type="dxa"/>
            <w:shd w:val="clear" w:color="auto" w:fill="auto"/>
            <w:vAlign w:val="bottom"/>
          </w:tcPr>
          <w:p>
            <w:pPr>
              <w:rPr>
                <w:rFonts w:hint="default" w:ascii="Arial" w:hAnsi="Arial" w:eastAsia="宋体" w:cs="Arial"/>
                <w:i w:val="0"/>
                <w:color w:val="000000"/>
                <w:sz w:val="20"/>
                <w:szCs w:val="20"/>
                <w:u w:val="none"/>
              </w:rPr>
            </w:pPr>
          </w:p>
        </w:tc>
        <w:tc>
          <w:tcPr>
            <w:tcW w:w="1113" w:type="dxa"/>
            <w:shd w:val="clear" w:color="auto" w:fill="auto"/>
            <w:vAlign w:val="bottom"/>
          </w:tcPr>
          <w:p>
            <w:pPr>
              <w:rPr>
                <w:rFonts w:hint="default" w:ascii="Arial" w:hAnsi="Arial" w:eastAsia="宋体" w:cs="Arial"/>
                <w:i w:val="0"/>
                <w:color w:val="000000"/>
                <w:sz w:val="20"/>
                <w:szCs w:val="20"/>
                <w:u w:val="none"/>
              </w:rPr>
            </w:pPr>
          </w:p>
        </w:tc>
        <w:tc>
          <w:tcPr>
            <w:tcW w:w="111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7781" w:type="dxa"/>
            <w:gridSpan w:val="7"/>
            <w:shd w:val="clear" w:color="auto" w:fill="auto"/>
            <w:vAlign w:val="bottom"/>
          </w:tcPr>
          <w:p>
            <w:pPr>
              <w:rPr>
                <w:rFonts w:hint="default"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tc>
        <w:tc>
          <w:tcPr>
            <w:tcW w:w="1112" w:type="dxa"/>
            <w:shd w:val="clear" w:color="auto" w:fill="auto"/>
            <w:vAlign w:val="bottom"/>
          </w:tcPr>
          <w:p>
            <w:pPr>
              <w:rPr>
                <w:rFonts w:hint="default" w:ascii="Arial" w:hAnsi="Arial" w:eastAsia="宋体" w:cs="Arial"/>
                <w:i w:val="0"/>
                <w:color w:val="000000"/>
                <w:sz w:val="20"/>
                <w:szCs w:val="20"/>
                <w:u w:val="none"/>
              </w:rPr>
            </w:pPr>
          </w:p>
        </w:tc>
        <w:tc>
          <w:tcPr>
            <w:tcW w:w="1111" w:type="dxa"/>
            <w:shd w:val="clear" w:color="auto" w:fill="auto"/>
            <w:vAlign w:val="bottom"/>
          </w:tcPr>
          <w:p>
            <w:pPr>
              <w:rPr>
                <w:rFonts w:hint="default" w:ascii="Arial" w:hAnsi="Arial" w:eastAsia="宋体" w:cs="Arial"/>
                <w:i w:val="0"/>
                <w:color w:val="000000"/>
                <w:sz w:val="20"/>
                <w:szCs w:val="20"/>
                <w:u w:val="none"/>
              </w:rPr>
            </w:pPr>
          </w:p>
        </w:tc>
        <w:tc>
          <w:tcPr>
            <w:tcW w:w="1112" w:type="dxa"/>
            <w:shd w:val="clear" w:color="auto" w:fill="auto"/>
            <w:vAlign w:val="bottom"/>
          </w:tcPr>
          <w:p>
            <w:pPr>
              <w:rPr>
                <w:rFonts w:hint="default" w:ascii="Arial" w:hAnsi="Arial" w:eastAsia="宋体" w:cs="Arial"/>
                <w:i w:val="0"/>
                <w:color w:val="000000"/>
                <w:sz w:val="20"/>
                <w:szCs w:val="20"/>
                <w:u w:val="none"/>
              </w:rPr>
            </w:pPr>
          </w:p>
        </w:tc>
        <w:tc>
          <w:tcPr>
            <w:tcW w:w="2224"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66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670"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111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36"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1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1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36"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1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111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1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1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111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111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1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13340"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tbl>
      <w:tblPr>
        <w:tblStyle w:val="5"/>
        <w:tblW w:w="126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908"/>
        <w:gridCol w:w="908"/>
        <w:gridCol w:w="3930"/>
        <w:gridCol w:w="1681"/>
        <w:gridCol w:w="959"/>
        <w:gridCol w:w="959"/>
        <w:gridCol w:w="959"/>
        <w:gridCol w:w="959"/>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654"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32" w:type="dxa"/>
            <w:shd w:val="clear" w:color="auto" w:fill="auto"/>
            <w:vAlign w:val="bottom"/>
          </w:tcPr>
          <w:p>
            <w:pPr>
              <w:rPr>
                <w:rFonts w:hint="default" w:ascii="Arial" w:hAnsi="Arial" w:cs="Arial"/>
                <w:i w:val="0"/>
                <w:color w:val="000000"/>
                <w:sz w:val="20"/>
                <w:szCs w:val="20"/>
                <w:u w:val="none"/>
              </w:rPr>
            </w:pPr>
          </w:p>
        </w:tc>
        <w:tc>
          <w:tcPr>
            <w:tcW w:w="908" w:type="dxa"/>
            <w:shd w:val="clear" w:color="auto" w:fill="auto"/>
            <w:vAlign w:val="bottom"/>
          </w:tcPr>
          <w:p>
            <w:pPr>
              <w:rPr>
                <w:rFonts w:hint="default" w:ascii="Arial" w:hAnsi="Arial" w:cs="Arial"/>
                <w:i w:val="0"/>
                <w:color w:val="000000"/>
                <w:sz w:val="20"/>
                <w:szCs w:val="20"/>
                <w:u w:val="none"/>
              </w:rPr>
            </w:pPr>
          </w:p>
        </w:tc>
        <w:tc>
          <w:tcPr>
            <w:tcW w:w="908" w:type="dxa"/>
            <w:shd w:val="clear" w:color="auto" w:fill="auto"/>
            <w:vAlign w:val="bottom"/>
          </w:tcPr>
          <w:p>
            <w:pPr>
              <w:rPr>
                <w:rFonts w:hint="default" w:ascii="Arial" w:hAnsi="Arial" w:cs="Arial"/>
                <w:i w:val="0"/>
                <w:color w:val="000000"/>
                <w:sz w:val="20"/>
                <w:szCs w:val="20"/>
                <w:u w:val="none"/>
              </w:rPr>
            </w:pPr>
          </w:p>
        </w:tc>
        <w:tc>
          <w:tcPr>
            <w:tcW w:w="3930" w:type="dxa"/>
            <w:shd w:val="clear" w:color="auto" w:fill="auto"/>
            <w:vAlign w:val="bottom"/>
          </w:tcPr>
          <w:p>
            <w:pPr>
              <w:rPr>
                <w:rFonts w:hint="default" w:ascii="Arial" w:hAnsi="Arial" w:cs="Arial"/>
                <w:i w:val="0"/>
                <w:color w:val="000000"/>
                <w:sz w:val="20"/>
                <w:szCs w:val="20"/>
                <w:u w:val="none"/>
              </w:rPr>
            </w:pPr>
          </w:p>
        </w:tc>
        <w:tc>
          <w:tcPr>
            <w:tcW w:w="1681"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59" w:type="dxa"/>
            <w:gridSpan w:val="5"/>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部门：河南省濮阳市台前县广播电视台</w:t>
            </w: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1918"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项目</w:t>
            </w:r>
          </w:p>
        </w:tc>
        <w:tc>
          <w:tcPr>
            <w:tcW w:w="168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年初结转和结余</w:t>
            </w:r>
          </w:p>
        </w:tc>
        <w:tc>
          <w:tcPr>
            <w:tcW w:w="95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本年收入</w:t>
            </w:r>
          </w:p>
        </w:tc>
        <w:tc>
          <w:tcPr>
            <w:tcW w:w="2877"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本年支出</w:t>
            </w:r>
          </w:p>
        </w:tc>
        <w:tc>
          <w:tcPr>
            <w:tcW w:w="95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功能分类科目编码</w:t>
            </w:r>
          </w:p>
        </w:tc>
        <w:tc>
          <w:tcPr>
            <w:tcW w:w="393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科目名称</w:t>
            </w:r>
          </w:p>
        </w:tc>
        <w:tc>
          <w:tcPr>
            <w:tcW w:w="16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小计</w:t>
            </w:r>
          </w:p>
        </w:tc>
        <w:tc>
          <w:tcPr>
            <w:tcW w:w="95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基本支出</w:t>
            </w:r>
          </w:p>
        </w:tc>
        <w:tc>
          <w:tcPr>
            <w:tcW w:w="95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项目支出</w:t>
            </w: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393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16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393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168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c>
          <w:tcPr>
            <w:tcW w:w="95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8"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栏次</w:t>
            </w:r>
          </w:p>
        </w:tc>
        <w:tc>
          <w:tcPr>
            <w:tcW w:w="168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1</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2</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3</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4</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5</w:t>
            </w:r>
          </w:p>
        </w:tc>
        <w:tc>
          <w:tcPr>
            <w:tcW w:w="95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6178"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u w:val="none"/>
                <w:shd w:val="clear" w:color="auto" w:fill="auto"/>
                <w:lang w:val="en-US" w:eastAsia="zh-CN" w:bidi="ar"/>
                <w14:textFill>
                  <w14:solidFill>
                    <w14:schemeClr w14:val="tx1"/>
                  </w14:solidFill>
                </w14:textFill>
              </w:rPr>
              <w:t>合计</w:t>
            </w:r>
          </w:p>
        </w:tc>
        <w:tc>
          <w:tcPr>
            <w:tcW w:w="1681"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pPr>
            <w: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t>0</w:t>
            </w:r>
          </w:p>
        </w:tc>
        <w:tc>
          <w:tcPr>
            <w:tcW w:w="959" w:type="dxa"/>
            <w:tcBorders>
              <w:bottom w:val="single" w:color="000000" w:sz="4" w:space="0"/>
              <w:right w:val="single" w:color="000000" w:sz="4" w:space="0"/>
            </w:tcBorders>
            <w:shd w:val="clear" w:color="auto" w:fill="auto"/>
            <w:vAlign w:val="center"/>
          </w:tcPr>
          <w:p>
            <w:pPr>
              <w:tabs>
                <w:tab w:val="left" w:pos="440"/>
              </w:tabs>
              <w:jc w:val="left"/>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pPr>
            <w:r>
              <w:rPr>
                <w:rFonts w:hint="eastAsia" w:ascii="宋体" w:hAnsi="宋体" w:eastAsia="宋体" w:cs="宋体"/>
                <w:b/>
                <w:i w:val="0"/>
                <w:color w:val="000000" w:themeColor="text1"/>
                <w:sz w:val="22"/>
                <w:szCs w:val="22"/>
                <w:u w:val="none"/>
                <w:shd w:val="clear" w:color="auto" w:fill="auto"/>
                <w:lang w:eastAsia="zh-CN"/>
                <w14:textFill>
                  <w14:solidFill>
                    <w14:schemeClr w14:val="tx1"/>
                  </w14:solidFill>
                </w14:textFill>
              </w:rPr>
              <w:tab/>
            </w:r>
            <w: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t>0</w:t>
            </w:r>
          </w:p>
        </w:tc>
        <w:tc>
          <w:tcPr>
            <w:tcW w:w="959"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pPr>
            <w: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t>0</w:t>
            </w:r>
          </w:p>
        </w:tc>
        <w:tc>
          <w:tcPr>
            <w:tcW w:w="959" w:type="dxa"/>
            <w:tcBorders>
              <w:bottom w:val="single" w:color="000000" w:sz="4" w:space="0"/>
              <w:right w:val="single" w:color="000000" w:sz="4" w:space="0"/>
            </w:tcBorders>
            <w:shd w:val="clear" w:color="auto" w:fill="auto"/>
            <w:vAlign w:val="center"/>
          </w:tcPr>
          <w:p>
            <w:pPr>
              <w:tabs>
                <w:tab w:val="left" w:pos="517"/>
              </w:tabs>
              <w:jc w:val="left"/>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pPr>
            <w:r>
              <w:rPr>
                <w:rFonts w:hint="eastAsia" w:ascii="宋体" w:hAnsi="宋体" w:eastAsia="宋体" w:cs="宋体"/>
                <w:b/>
                <w:i w:val="0"/>
                <w:color w:val="000000" w:themeColor="text1"/>
                <w:sz w:val="22"/>
                <w:szCs w:val="22"/>
                <w:u w:val="none"/>
                <w:shd w:val="clear" w:color="auto" w:fill="auto"/>
                <w:lang w:eastAsia="zh-CN"/>
                <w14:textFill>
                  <w14:solidFill>
                    <w14:schemeClr w14:val="tx1"/>
                  </w14:solidFill>
                </w14:textFill>
              </w:rPr>
              <w:tab/>
            </w:r>
            <w: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t>0</w:t>
            </w:r>
          </w:p>
        </w:tc>
        <w:tc>
          <w:tcPr>
            <w:tcW w:w="959" w:type="dxa"/>
            <w:tcBorders>
              <w:bottom w:val="single" w:color="000000" w:sz="4" w:space="0"/>
              <w:right w:val="single" w:color="000000" w:sz="4" w:space="0"/>
            </w:tcBorders>
            <w:shd w:val="clear" w:color="auto" w:fill="auto"/>
            <w:vAlign w:val="center"/>
          </w:tcPr>
          <w:p>
            <w:pPr>
              <w:tabs>
                <w:tab w:val="left" w:pos="293"/>
              </w:tabs>
              <w:jc w:val="left"/>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pPr>
            <w:r>
              <w:rPr>
                <w:rFonts w:hint="eastAsia" w:ascii="宋体" w:hAnsi="宋体" w:eastAsia="宋体" w:cs="宋体"/>
                <w:b/>
                <w:i w:val="0"/>
                <w:color w:val="000000" w:themeColor="text1"/>
                <w:sz w:val="22"/>
                <w:szCs w:val="22"/>
                <w:u w:val="none"/>
                <w:shd w:val="clear" w:color="auto" w:fill="auto"/>
                <w:lang w:eastAsia="zh-CN"/>
                <w14:textFill>
                  <w14:solidFill>
                    <w14:schemeClr w14:val="tx1"/>
                  </w14:solidFill>
                </w14:textFill>
              </w:rPr>
              <w:tab/>
            </w:r>
            <w: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t>0</w:t>
            </w:r>
          </w:p>
        </w:tc>
        <w:tc>
          <w:tcPr>
            <w:tcW w:w="959"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pPr>
            <w:r>
              <w:rPr>
                <w:rFonts w:hint="eastAsia" w:ascii="宋体" w:hAnsi="宋体" w:eastAsia="宋体" w:cs="宋体"/>
                <w:b/>
                <w:i w:val="0"/>
                <w:color w:val="000000" w:themeColor="text1"/>
                <w:sz w:val="22"/>
                <w:szCs w:val="22"/>
                <w:u w:val="none"/>
                <w:shd w:val="clear" w:color="auto" w:fill="auto"/>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5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2654"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2654"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color w:val="FF0000"/>
                <w:kern w:val="0"/>
                <w:sz w:val="20"/>
                <w:szCs w:val="20"/>
              </w:rPr>
              <w:t>说明：</w:t>
            </w:r>
            <w:r>
              <w:rPr>
                <w:rFonts w:hint="eastAsia" w:ascii="宋体" w:hAnsi="宋体" w:eastAsia="宋体" w:cs="宋体"/>
                <w:b/>
                <w:color w:val="FF0000"/>
                <w:kern w:val="0"/>
                <w:sz w:val="20"/>
                <w:szCs w:val="20"/>
                <w:lang w:eastAsia="zh-CN"/>
              </w:rPr>
              <w:t>广播电视台</w:t>
            </w:r>
            <w:r>
              <w:rPr>
                <w:rFonts w:hint="eastAsia" w:ascii="宋体" w:hAnsi="宋体" w:eastAsia="宋体" w:cs="宋体"/>
                <w:b/>
                <w:color w:val="FF0000"/>
                <w:kern w:val="0"/>
                <w:sz w:val="20"/>
                <w:szCs w:val="20"/>
              </w:rPr>
              <w:t>没有政府性基金收入，也没有使用政府性基金安排的支出，故本表无数据。</w:t>
            </w:r>
          </w:p>
        </w:tc>
      </w:tr>
    </w:tbl>
    <w:p>
      <w:pPr>
        <w:widowControl/>
        <w:jc w:val="left"/>
        <w:rPr>
          <w:rFonts w:hint="eastAsia" w:ascii="黑体" w:hAnsi="宋体" w:eastAsia="黑体" w:cs="宋体"/>
          <w:color w:val="auto"/>
          <w:kern w:val="0"/>
          <w:sz w:val="28"/>
          <w:szCs w:val="28"/>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center"/>
        <w:outlineLvl w:val="9"/>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w:t>
      </w:r>
    </w:p>
    <w:p>
      <w:pPr>
        <w:widowControl/>
        <w:jc w:val="center"/>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2017年度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收入支出决算总体情况说明</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 w:hAnsi="仿宋" w:eastAsia="仿宋"/>
          <w:sz w:val="32"/>
        </w:rPr>
        <w:t>2017年度收、支总计均为345.51万元。与2016年相比，收、支总计</w:t>
      </w:r>
      <w:r>
        <w:rPr>
          <w:rFonts w:hint="eastAsia" w:ascii="仿宋" w:hAnsi="仿宋" w:eastAsia="仿宋"/>
          <w:sz w:val="32"/>
          <w:lang w:val="en-US" w:eastAsia="zh-CN"/>
        </w:rPr>
        <w:t>均减少了25.08</w:t>
      </w:r>
      <w:r>
        <w:rPr>
          <w:rFonts w:hint="eastAsia" w:ascii="仿宋" w:hAnsi="仿宋" w:eastAsia="仿宋"/>
          <w:sz w:val="32"/>
        </w:rPr>
        <w:t>万元，</w:t>
      </w:r>
      <w:r>
        <w:rPr>
          <w:rFonts w:hint="eastAsia" w:ascii="仿宋" w:hAnsi="仿宋" w:eastAsia="仿宋"/>
          <w:sz w:val="32"/>
          <w:lang w:val="en-US" w:eastAsia="zh-CN"/>
        </w:rPr>
        <w:t>下降7.2</w:t>
      </w:r>
      <w:r>
        <w:rPr>
          <w:rFonts w:hint="eastAsia" w:ascii="仿宋" w:hAnsi="仿宋" w:eastAsia="仿宋"/>
          <w:sz w:val="32"/>
        </w:rPr>
        <w:t>%。主要原因是</w:t>
      </w:r>
      <w:r>
        <w:rPr>
          <w:rFonts w:hint="eastAsia" w:ascii="仿宋" w:hAnsi="仿宋" w:eastAsia="仿宋"/>
          <w:sz w:val="32"/>
          <w:lang w:val="en-US" w:eastAsia="zh-CN"/>
        </w:rPr>
        <w:t>退休人员工资统一划归机关事业养老保险中心发放。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 w:hAnsi="仿宋" w:eastAsia="仿宋"/>
          <w:sz w:val="32"/>
        </w:rPr>
        <w:t>2017年度收入合计345.51万元，其中：财政拨款收入345.51万元，占</w:t>
      </w:r>
      <w:r>
        <w:rPr>
          <w:rFonts w:hint="eastAsia" w:ascii="仿宋" w:hAnsi="仿宋" w:eastAsia="仿宋"/>
          <w:sz w:val="32"/>
          <w:lang w:val="en-US" w:eastAsia="zh-CN"/>
        </w:rPr>
        <w:t>10</w:t>
      </w:r>
      <w:r>
        <w:rPr>
          <w:rFonts w:hint="eastAsia" w:ascii="仿宋" w:hAnsi="仿宋" w:eastAsia="仿宋"/>
          <w:sz w:val="32"/>
        </w:rPr>
        <w:t>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spacing w:beforeLines="0" w:afterLines="0"/>
        <w:ind w:firstLine="64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sz w:val="32"/>
        </w:rPr>
        <w:t>2017年度支出合计345.51万元，其中：基本支出345.51万元，占</w:t>
      </w:r>
      <w:r>
        <w:rPr>
          <w:rFonts w:hint="eastAsia" w:ascii="仿宋" w:hAnsi="仿宋" w:eastAsia="仿宋"/>
          <w:sz w:val="32"/>
          <w:lang w:val="en-US" w:eastAsia="zh-CN"/>
        </w:rPr>
        <w:t>10</w:t>
      </w:r>
      <w:r>
        <w:rPr>
          <w:rFonts w:hint="eastAsia" w:ascii="仿宋" w:hAnsi="仿宋" w:eastAsia="仿宋"/>
          <w:sz w:val="32"/>
        </w:rPr>
        <w:t>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sz w:val="32"/>
        </w:rPr>
        <w:t>2017年财政拨款收、支总计均为345.51万元。与2016年相比，财政拨款收、支总计</w:t>
      </w:r>
      <w:r>
        <w:rPr>
          <w:rFonts w:hint="eastAsia" w:ascii="仿宋" w:hAnsi="仿宋" w:eastAsia="仿宋"/>
          <w:sz w:val="32"/>
          <w:lang w:val="en-US" w:eastAsia="zh-CN"/>
        </w:rPr>
        <w:t>均减少25.08</w:t>
      </w:r>
      <w:r>
        <w:rPr>
          <w:rFonts w:hint="eastAsia" w:ascii="仿宋" w:hAnsi="仿宋" w:eastAsia="仿宋"/>
          <w:sz w:val="32"/>
        </w:rPr>
        <w:t>万元，</w:t>
      </w:r>
      <w:r>
        <w:rPr>
          <w:rFonts w:hint="eastAsia" w:ascii="仿宋" w:hAnsi="仿宋" w:eastAsia="仿宋"/>
          <w:sz w:val="32"/>
          <w:lang w:val="en-US" w:eastAsia="zh-CN"/>
        </w:rPr>
        <w:t>下降7.2</w:t>
      </w:r>
      <w:r>
        <w:rPr>
          <w:rFonts w:hint="eastAsia" w:ascii="仿宋" w:hAnsi="仿宋" w:eastAsia="仿宋"/>
          <w:sz w:val="32"/>
        </w:rPr>
        <w:t>%</w:t>
      </w:r>
      <w:r>
        <w:rPr>
          <w:rFonts w:hint="eastAsia" w:ascii="仿宋" w:hAnsi="仿宋" w:eastAsia="仿宋"/>
          <w:sz w:val="32"/>
          <w:lang w:eastAsia="zh-CN"/>
        </w:rPr>
        <w:t>，</w:t>
      </w:r>
      <w:r>
        <w:rPr>
          <w:rFonts w:hint="eastAsia" w:ascii="仿宋" w:hAnsi="仿宋" w:eastAsia="仿宋"/>
          <w:sz w:val="32"/>
          <w:lang w:val="en-US" w:eastAsia="zh-CN"/>
        </w:rPr>
        <w:t>退休人员工资统一划归机关事业养老保险中心发放</w:t>
      </w:r>
      <w:r>
        <w:rPr>
          <w:rFonts w:hint="eastAsia" w:ascii="仿宋" w:hAnsi="仿宋" w:eastAsia="仿宋"/>
          <w:sz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（一）总体情况。</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 w:hAnsi="仿宋" w:eastAsia="仿宋"/>
          <w:sz w:val="32"/>
        </w:rPr>
        <w:t>2017年一般公共预算财政拨款支出345.51万元，占支出合计的</w:t>
      </w:r>
      <w:r>
        <w:rPr>
          <w:rFonts w:hint="eastAsia" w:ascii="仿宋" w:hAnsi="仿宋" w:eastAsia="仿宋"/>
          <w:sz w:val="32"/>
          <w:lang w:val="en-US" w:eastAsia="zh-CN"/>
        </w:rPr>
        <w:t>100</w:t>
      </w:r>
      <w:r>
        <w:rPr>
          <w:rFonts w:hint="eastAsia" w:ascii="仿宋" w:hAnsi="仿宋" w:eastAsia="仿宋"/>
          <w:sz w:val="32"/>
        </w:rPr>
        <w:t>%。与2016年相比，一般公共预算财政拨款支出</w:t>
      </w:r>
      <w:r>
        <w:rPr>
          <w:rFonts w:hint="eastAsia" w:ascii="仿宋" w:hAnsi="仿宋" w:eastAsia="仿宋"/>
          <w:sz w:val="32"/>
          <w:lang w:val="en-US" w:eastAsia="zh-CN"/>
        </w:rPr>
        <w:t>减少25.08</w:t>
      </w:r>
      <w:r>
        <w:rPr>
          <w:rFonts w:hint="eastAsia" w:ascii="仿宋" w:hAnsi="仿宋" w:eastAsia="仿宋"/>
          <w:sz w:val="32"/>
        </w:rPr>
        <w:t>万元，</w:t>
      </w:r>
      <w:r>
        <w:rPr>
          <w:rFonts w:hint="eastAsia" w:ascii="仿宋" w:hAnsi="仿宋" w:eastAsia="仿宋"/>
          <w:sz w:val="32"/>
          <w:lang w:val="en-US" w:eastAsia="zh-CN"/>
        </w:rPr>
        <w:t>下降7.2</w:t>
      </w:r>
      <w:r>
        <w:rPr>
          <w:rFonts w:hint="eastAsia" w:ascii="仿宋" w:hAnsi="仿宋" w:eastAsia="仿宋"/>
          <w:sz w:val="32"/>
        </w:rPr>
        <w:t>%</w:t>
      </w:r>
      <w:r>
        <w:rPr>
          <w:rFonts w:hint="eastAsia" w:ascii="仿宋" w:hAnsi="仿宋" w:eastAsia="仿宋"/>
          <w:sz w:val="32"/>
          <w:lang w:eastAsia="zh-CN"/>
        </w:rPr>
        <w:t>，</w:t>
      </w:r>
      <w:r>
        <w:rPr>
          <w:rFonts w:hint="eastAsia" w:ascii="仿宋" w:hAnsi="仿宋" w:eastAsia="仿宋"/>
          <w:sz w:val="32"/>
        </w:rPr>
        <w:t>变动的主要原因</w:t>
      </w:r>
      <w:r>
        <w:rPr>
          <w:rFonts w:hint="eastAsia" w:ascii="仿宋" w:hAnsi="仿宋" w:eastAsia="仿宋"/>
          <w:sz w:val="32"/>
          <w:lang w:val="en-US" w:eastAsia="zh-CN"/>
        </w:rPr>
        <w:t>退休人员工资统一划归机关事业养老保险中心发放。</w:t>
      </w:r>
    </w:p>
    <w:p>
      <w:pPr>
        <w:spacing w:beforeLines="0" w:afterLines="0"/>
        <w:ind w:firstLine="640"/>
        <w:jc w:val="left"/>
        <w:rPr>
          <w:rFonts w:hint="eastAsia" w:ascii="仿宋" w:hAnsi="仿宋" w:eastAsia="仿宋"/>
          <w:sz w:val="32"/>
        </w:rPr>
      </w:pPr>
      <w:r>
        <w:rPr>
          <w:rFonts w:hint="eastAsia" w:ascii="楷体" w:hAnsi="楷体" w:eastAsia="楷体"/>
          <w:sz w:val="32"/>
        </w:rPr>
        <w:t>（二）结构情况。</w:t>
      </w:r>
    </w:p>
    <w:p>
      <w:pPr>
        <w:spacing w:beforeLines="0" w:afterLines="0"/>
        <w:ind w:firstLine="640"/>
        <w:jc w:val="left"/>
        <w:rPr>
          <w:rFonts w:hint="eastAsia" w:ascii="仿宋" w:hAnsi="仿宋" w:eastAsia="仿宋"/>
          <w:sz w:val="32"/>
          <w:lang w:val="en-US" w:eastAsia="zh-CN"/>
        </w:rPr>
      </w:pPr>
      <w:r>
        <w:rPr>
          <w:rFonts w:hint="eastAsia" w:ascii="仿宋" w:hAnsi="仿宋" w:eastAsia="仿宋"/>
          <w:sz w:val="32"/>
        </w:rPr>
        <w:t>2017年度一般公共预算财政拨款支出345.51万元，主要用于以下方面：文化体育与传媒（类）支出336.39万元，占</w:t>
      </w:r>
      <w:r>
        <w:rPr>
          <w:rFonts w:hint="eastAsia" w:ascii="仿宋" w:hAnsi="仿宋" w:eastAsia="仿宋"/>
          <w:sz w:val="32"/>
          <w:lang w:val="en-US" w:eastAsia="zh-CN"/>
        </w:rPr>
        <w:t>97.4</w:t>
      </w:r>
      <w:r>
        <w:rPr>
          <w:rFonts w:hint="eastAsia" w:ascii="仿宋" w:hAnsi="仿宋" w:eastAsia="仿宋"/>
          <w:sz w:val="32"/>
        </w:rPr>
        <w:t>%；社会保障和就业（类）支出9.12万元，占</w:t>
      </w:r>
      <w:r>
        <w:rPr>
          <w:rFonts w:hint="eastAsia" w:ascii="仿宋" w:hAnsi="仿宋" w:eastAsia="仿宋"/>
          <w:sz w:val="32"/>
          <w:lang w:val="en-US" w:eastAsia="zh-CN"/>
        </w:rPr>
        <w:t>2.6</w:t>
      </w:r>
      <w:r>
        <w:rPr>
          <w:rFonts w:hint="eastAsia" w:ascii="仿宋" w:hAnsi="仿宋" w:eastAsia="仿宋"/>
          <w:sz w:val="32"/>
        </w:rPr>
        <w:t>%</w:t>
      </w:r>
      <w:r>
        <w:rPr>
          <w:rFonts w:hint="eastAsia" w:ascii="仿宋" w:hAnsi="仿宋" w:eastAsia="仿宋"/>
          <w:sz w:val="32"/>
          <w:lang w:eastAsia="zh-CN"/>
        </w:rPr>
        <w:t>。</w:t>
      </w:r>
    </w:p>
    <w:p>
      <w:pPr>
        <w:spacing w:beforeLines="0" w:afterLines="0"/>
        <w:ind w:firstLine="640"/>
        <w:jc w:val="left"/>
        <w:rPr>
          <w:rFonts w:hint="eastAsia" w:ascii="仿宋" w:hAnsi="仿宋" w:eastAsia="仿宋"/>
          <w:sz w:val="32"/>
        </w:rPr>
      </w:pPr>
      <w:r>
        <w:rPr>
          <w:rFonts w:hint="eastAsia" w:ascii="楷体" w:hAnsi="楷体" w:eastAsia="楷体"/>
          <w:sz w:val="32"/>
        </w:rPr>
        <w:t>（三）具体情况。</w:t>
      </w:r>
    </w:p>
    <w:p>
      <w:pPr>
        <w:spacing w:beforeLines="0" w:afterLines="0"/>
        <w:ind w:firstLine="640"/>
        <w:rPr>
          <w:rFonts w:hint="eastAsia" w:ascii="仿宋" w:hAnsi="仿宋" w:eastAsia="仿宋"/>
          <w:sz w:val="32"/>
        </w:rPr>
      </w:pPr>
      <w:r>
        <w:rPr>
          <w:rFonts w:hint="eastAsia" w:ascii="仿宋" w:hAnsi="仿宋" w:eastAsia="仿宋"/>
          <w:sz w:val="32"/>
        </w:rPr>
        <w:t>2017年度一般公共预算财政拨款支出年初预算为327.5万元，支出决算为345.51万元，完成年初预算的</w:t>
      </w:r>
      <w:r>
        <w:rPr>
          <w:rFonts w:hint="eastAsia" w:ascii="仿宋" w:hAnsi="仿宋" w:eastAsia="仿宋"/>
          <w:sz w:val="32"/>
          <w:lang w:val="en-US" w:eastAsia="zh-CN"/>
        </w:rPr>
        <w:t>1</w:t>
      </w:r>
      <w:r>
        <w:rPr>
          <w:rFonts w:hint="eastAsia" w:ascii="仿宋" w:hAnsi="仿宋" w:eastAsia="仿宋"/>
          <w:sz w:val="32"/>
        </w:rPr>
        <w:t>0</w:t>
      </w:r>
      <w:r>
        <w:rPr>
          <w:rFonts w:hint="eastAsia" w:ascii="仿宋" w:hAnsi="仿宋" w:eastAsia="仿宋"/>
          <w:sz w:val="32"/>
          <w:lang w:val="en-US" w:eastAsia="zh-CN"/>
        </w:rPr>
        <w:t>5.4</w:t>
      </w:r>
      <w:r>
        <w:rPr>
          <w:rFonts w:hint="eastAsia" w:ascii="仿宋" w:hAnsi="仿宋" w:eastAsia="仿宋"/>
          <w:sz w:val="32"/>
        </w:rPr>
        <w:t>%。决算数与年初预算数存在差异的主要原因：</w:t>
      </w:r>
      <w:r>
        <w:rPr>
          <w:rFonts w:hint="eastAsia" w:ascii="仿宋" w:hAnsi="仿宋" w:eastAsia="仿宋"/>
          <w:sz w:val="32"/>
          <w:lang w:val="en-US" w:eastAsia="zh-CN"/>
        </w:rPr>
        <w:t>人员增加</w:t>
      </w:r>
      <w:r>
        <w:rPr>
          <w:rFonts w:hint="eastAsia" w:ascii="仿宋" w:hAnsi="仿宋" w:eastAsia="仿宋"/>
          <w:sz w:val="32"/>
        </w:rPr>
        <w:t>。其中：</w:t>
      </w:r>
    </w:p>
    <w:p>
      <w:pPr>
        <w:numPr>
          <w:ilvl w:val="0"/>
          <w:numId w:val="0"/>
        </w:numPr>
        <w:spacing w:beforeLines="0" w:afterLines="0"/>
        <w:ind w:firstLine="640" w:firstLineChars="200"/>
        <w:rPr>
          <w:rFonts w:hint="eastAsia" w:ascii="仿宋" w:hAnsi="仿宋" w:eastAsia="仿宋"/>
          <w:color w:val="auto"/>
          <w:sz w:val="32"/>
        </w:rPr>
      </w:pP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文化体育与传媒支出（类）</w:t>
      </w:r>
      <w:r>
        <w:rPr>
          <w:rFonts w:hint="eastAsia" w:ascii="楷体" w:hAnsi="楷体" w:eastAsia="楷体" w:cs="楷体"/>
          <w:b w:val="0"/>
          <w:bCs w:val="0"/>
          <w:sz w:val="32"/>
          <w:szCs w:val="32"/>
          <w:lang w:eastAsia="zh-CN"/>
        </w:rPr>
        <w:t>新闻出版广播影视</w:t>
      </w:r>
      <w:r>
        <w:rPr>
          <w:rFonts w:hint="eastAsia" w:ascii="楷体" w:hAnsi="楷体" w:eastAsia="楷体" w:cs="楷体"/>
          <w:b w:val="0"/>
          <w:bCs w:val="0"/>
          <w:sz w:val="32"/>
          <w:szCs w:val="32"/>
        </w:rPr>
        <w:t>（款）行政运行（项）。</w:t>
      </w:r>
      <w:r>
        <w:rPr>
          <w:rFonts w:hint="eastAsia" w:ascii="仿宋" w:hAnsi="仿宋" w:eastAsia="仿宋"/>
          <w:color w:val="auto"/>
          <w:sz w:val="32"/>
        </w:rPr>
        <w:t>年初预算为</w:t>
      </w:r>
      <w:r>
        <w:rPr>
          <w:rFonts w:hint="eastAsia" w:ascii="仿宋" w:hAnsi="仿宋" w:eastAsia="仿宋"/>
          <w:color w:val="auto"/>
          <w:sz w:val="32"/>
          <w:lang w:val="en-US" w:eastAsia="zh-CN"/>
        </w:rPr>
        <w:t>315.1</w:t>
      </w:r>
      <w:r>
        <w:rPr>
          <w:rFonts w:hint="eastAsia" w:ascii="仿宋" w:hAnsi="仿宋" w:eastAsia="仿宋"/>
          <w:color w:val="auto"/>
          <w:sz w:val="32"/>
        </w:rPr>
        <w:t>万元，支出决算为</w:t>
      </w:r>
      <w:r>
        <w:rPr>
          <w:rFonts w:hint="eastAsia" w:ascii="仿宋" w:hAnsi="仿宋" w:eastAsia="仿宋"/>
          <w:color w:val="auto"/>
          <w:sz w:val="32"/>
          <w:lang w:val="en-US" w:eastAsia="zh-CN"/>
        </w:rPr>
        <w:t>310.99</w:t>
      </w:r>
      <w:r>
        <w:rPr>
          <w:rFonts w:hint="eastAsia" w:ascii="仿宋" w:hAnsi="仿宋" w:eastAsia="仿宋"/>
          <w:color w:val="auto"/>
          <w:sz w:val="32"/>
        </w:rPr>
        <w:t>万元，完成年初预算的</w:t>
      </w:r>
      <w:r>
        <w:rPr>
          <w:rFonts w:hint="eastAsia" w:ascii="仿宋" w:hAnsi="仿宋" w:eastAsia="仿宋"/>
          <w:color w:val="auto"/>
          <w:sz w:val="32"/>
          <w:lang w:val="en-US" w:eastAsia="zh-CN"/>
        </w:rPr>
        <w:t>98.69</w:t>
      </w:r>
      <w:r>
        <w:rPr>
          <w:rFonts w:hint="eastAsia" w:ascii="仿宋" w:hAnsi="仿宋" w:eastAsia="仿宋"/>
          <w:color w:val="auto"/>
          <w:sz w:val="32"/>
        </w:rPr>
        <w:t>%。决算数</w:t>
      </w:r>
      <w:r>
        <w:rPr>
          <w:rFonts w:hint="eastAsia" w:ascii="仿宋" w:hAnsi="仿宋" w:eastAsia="仿宋"/>
          <w:color w:val="auto"/>
          <w:sz w:val="32"/>
          <w:lang w:val="en-US" w:eastAsia="zh-CN"/>
        </w:rPr>
        <w:t>小</w:t>
      </w:r>
      <w:r>
        <w:rPr>
          <w:rFonts w:hint="eastAsia" w:ascii="仿宋" w:hAnsi="仿宋" w:eastAsia="仿宋"/>
          <w:color w:val="auto"/>
          <w:sz w:val="32"/>
        </w:rPr>
        <w:t>于预算数的主要原因</w:t>
      </w:r>
      <w:r>
        <w:rPr>
          <w:rFonts w:hint="eastAsia" w:ascii="仿宋" w:hAnsi="仿宋" w:eastAsia="仿宋"/>
          <w:color w:val="auto"/>
          <w:sz w:val="32"/>
          <w:lang w:val="en-US" w:eastAsia="zh-CN"/>
        </w:rPr>
        <w:t>按照中央八项规定，控制经费支出</w:t>
      </w:r>
      <w:r>
        <w:rPr>
          <w:rFonts w:hint="eastAsia" w:ascii="仿宋" w:hAnsi="仿宋" w:eastAsia="仿宋"/>
          <w:color w:val="auto"/>
          <w:sz w:val="32"/>
        </w:rPr>
        <w:t>。</w:t>
      </w:r>
    </w:p>
    <w:p>
      <w:pPr>
        <w:numPr>
          <w:ilvl w:val="0"/>
          <w:numId w:val="0"/>
        </w:numPr>
        <w:adjustRightInd w:val="0"/>
        <w:snapToGrid w:val="0"/>
        <w:spacing w:line="360" w:lineRule="auto"/>
        <w:ind w:firstLine="640" w:firstLineChars="200"/>
        <w:rPr>
          <w:rFonts w:ascii="仿宋_GB2312" w:hAnsi="宋体" w:eastAsia="仿宋_GB2312" w:cs="Courier New"/>
          <w:b/>
          <w:bCs/>
          <w:sz w:val="32"/>
          <w:szCs w:val="32"/>
        </w:rPr>
      </w:pPr>
      <w:r>
        <w:rPr>
          <w:rFonts w:hint="eastAsia" w:ascii="楷体" w:hAnsi="楷体" w:eastAsia="楷体" w:cs="楷体"/>
          <w:b w:val="0"/>
          <w:bCs w:val="0"/>
          <w:sz w:val="32"/>
          <w:szCs w:val="32"/>
          <w:lang w:val="en-US" w:eastAsia="zh-CN"/>
        </w:rPr>
        <w:t>2、</w:t>
      </w:r>
      <w:r>
        <w:rPr>
          <w:rFonts w:hint="eastAsia" w:ascii="楷体" w:hAnsi="楷体" w:eastAsia="楷体" w:cs="楷体"/>
          <w:b w:val="0"/>
          <w:bCs w:val="0"/>
          <w:sz w:val="32"/>
          <w:szCs w:val="32"/>
        </w:rPr>
        <w:t>文化体育与传媒支出（类）</w:t>
      </w:r>
      <w:r>
        <w:rPr>
          <w:rFonts w:hint="eastAsia" w:ascii="楷体" w:hAnsi="楷体" w:eastAsia="楷体" w:cs="楷体"/>
          <w:b w:val="0"/>
          <w:bCs w:val="0"/>
          <w:sz w:val="32"/>
          <w:szCs w:val="32"/>
          <w:lang w:eastAsia="zh-CN"/>
        </w:rPr>
        <w:t>新闻出版广播影视</w:t>
      </w:r>
      <w:r>
        <w:rPr>
          <w:rFonts w:hint="eastAsia" w:ascii="楷体" w:hAnsi="楷体" w:eastAsia="楷体" w:cs="楷体"/>
          <w:b w:val="0"/>
          <w:bCs w:val="0"/>
          <w:sz w:val="32"/>
          <w:szCs w:val="32"/>
        </w:rPr>
        <w:t>（款）</w:t>
      </w:r>
      <w:r>
        <w:rPr>
          <w:rFonts w:hint="eastAsia" w:ascii="楷体" w:hAnsi="楷体" w:eastAsia="楷体" w:cs="楷体"/>
          <w:b w:val="0"/>
          <w:bCs w:val="0"/>
          <w:sz w:val="32"/>
          <w:szCs w:val="32"/>
          <w:lang w:eastAsia="zh-CN"/>
        </w:rPr>
        <w:t>其他新闻出版广播影视支出</w:t>
      </w:r>
      <w:r>
        <w:rPr>
          <w:rFonts w:hint="eastAsia" w:ascii="楷体" w:hAnsi="楷体" w:eastAsia="楷体" w:cs="楷体"/>
          <w:b w:val="0"/>
          <w:bCs w:val="0"/>
          <w:sz w:val="32"/>
          <w:szCs w:val="32"/>
        </w:rPr>
        <w:t>（项）</w:t>
      </w:r>
      <w:r>
        <w:rPr>
          <w:rFonts w:hint="eastAsia" w:ascii="楷体" w:hAnsi="楷体" w:eastAsia="楷体" w:cs="楷体"/>
          <w:b w:val="0"/>
          <w:bCs w:val="0"/>
          <w:sz w:val="32"/>
          <w:szCs w:val="32"/>
          <w:lang w:eastAsia="zh-CN"/>
        </w:rPr>
        <w:t>。</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13</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主要原因是上级追加专项款，所以未编入年初预算</w:t>
      </w:r>
      <w:r>
        <w:rPr>
          <w:rFonts w:hint="eastAsia" w:ascii="仿宋_GB2312" w:hAnsi="宋体" w:eastAsia="仿宋_GB2312" w:cs="Courier New"/>
          <w:sz w:val="32"/>
          <w:szCs w:val="32"/>
        </w:rPr>
        <w:t>。</w:t>
      </w:r>
    </w:p>
    <w:p>
      <w:pPr>
        <w:numPr>
          <w:ilvl w:val="0"/>
          <w:numId w:val="0"/>
        </w:numPr>
        <w:adjustRightInd w:val="0"/>
        <w:snapToGrid w:val="0"/>
        <w:spacing w:line="360" w:lineRule="auto"/>
        <w:ind w:firstLine="640" w:firstLineChars="200"/>
        <w:rPr>
          <w:rFonts w:hint="eastAsia" w:ascii="仿宋" w:hAnsi="仿宋" w:eastAsia="仿宋"/>
          <w:color w:val="FF0000"/>
          <w:sz w:val="32"/>
        </w:rPr>
      </w:pPr>
      <w:r>
        <w:rPr>
          <w:rFonts w:hint="eastAsia" w:ascii="楷体" w:hAnsi="楷体" w:eastAsia="楷体" w:cs="楷体"/>
          <w:b w:val="0"/>
          <w:bCs w:val="0"/>
          <w:sz w:val="32"/>
          <w:szCs w:val="32"/>
          <w:lang w:val="en-US" w:eastAsia="zh-CN"/>
        </w:rPr>
        <w:t>3、</w:t>
      </w:r>
      <w:r>
        <w:rPr>
          <w:rFonts w:hint="eastAsia" w:ascii="楷体" w:hAnsi="楷体" w:eastAsia="楷体" w:cs="楷体"/>
          <w:b w:val="0"/>
          <w:bCs w:val="0"/>
          <w:sz w:val="32"/>
          <w:szCs w:val="32"/>
        </w:rPr>
        <w:t>文化体育与传媒支出（类）</w:t>
      </w:r>
      <w:r>
        <w:rPr>
          <w:rFonts w:hint="eastAsia" w:ascii="楷体" w:hAnsi="楷体" w:eastAsia="楷体" w:cs="楷体"/>
          <w:b w:val="0"/>
          <w:bCs w:val="0"/>
          <w:sz w:val="32"/>
          <w:szCs w:val="32"/>
          <w:lang w:eastAsia="zh-CN"/>
        </w:rPr>
        <w:t>其他</w:t>
      </w:r>
      <w:r>
        <w:rPr>
          <w:rFonts w:hint="eastAsia" w:ascii="楷体" w:hAnsi="楷体" w:eastAsia="楷体" w:cs="楷体"/>
          <w:b w:val="0"/>
          <w:bCs w:val="0"/>
          <w:sz w:val="32"/>
          <w:szCs w:val="32"/>
        </w:rPr>
        <w:t>文化体育与传媒支出（款）</w:t>
      </w:r>
      <w:r>
        <w:rPr>
          <w:rFonts w:hint="eastAsia" w:ascii="楷体" w:hAnsi="楷体" w:eastAsia="楷体" w:cs="楷体"/>
          <w:b w:val="0"/>
          <w:bCs w:val="0"/>
          <w:sz w:val="32"/>
          <w:szCs w:val="32"/>
          <w:lang w:eastAsia="zh-CN"/>
        </w:rPr>
        <w:t>其他</w:t>
      </w:r>
      <w:r>
        <w:rPr>
          <w:rFonts w:hint="eastAsia" w:ascii="楷体" w:hAnsi="楷体" w:eastAsia="楷体" w:cs="楷体"/>
          <w:b w:val="0"/>
          <w:bCs w:val="0"/>
          <w:sz w:val="32"/>
          <w:szCs w:val="32"/>
        </w:rPr>
        <w:t>文化体育与传媒支出（项）</w:t>
      </w:r>
      <w:r>
        <w:rPr>
          <w:rFonts w:hint="eastAsia" w:ascii="楷体" w:hAnsi="楷体" w:eastAsia="楷体" w:cs="楷体"/>
          <w:b w:val="0"/>
          <w:bCs w:val="0"/>
          <w:sz w:val="32"/>
          <w:szCs w:val="32"/>
          <w:lang w:eastAsia="zh-CN"/>
        </w:rPr>
        <w:t>。</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12.4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12.4</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ilvl w:val="0"/>
          <w:numId w:val="0"/>
        </w:numPr>
        <w:spacing w:beforeLines="0" w:afterLines="0"/>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lang w:eastAsia="zh-CN"/>
        </w:rPr>
        <w:t>社会保障和就业支出</w:t>
      </w:r>
      <w:r>
        <w:rPr>
          <w:rFonts w:hint="eastAsia" w:ascii="楷体" w:hAnsi="楷体" w:eastAsia="楷体" w:cs="楷体"/>
          <w:b w:val="0"/>
          <w:bCs w:val="0"/>
          <w:sz w:val="32"/>
          <w:szCs w:val="32"/>
        </w:rPr>
        <w:t>（类）</w:t>
      </w:r>
      <w:r>
        <w:rPr>
          <w:rFonts w:hint="eastAsia" w:ascii="楷体" w:hAnsi="楷体" w:eastAsia="楷体" w:cs="楷体"/>
          <w:b w:val="0"/>
          <w:bCs w:val="0"/>
          <w:sz w:val="32"/>
          <w:szCs w:val="32"/>
          <w:lang w:eastAsia="zh-CN"/>
        </w:rPr>
        <w:t>行政事业单位离退休</w:t>
      </w:r>
      <w:r>
        <w:rPr>
          <w:rFonts w:hint="eastAsia" w:ascii="楷体" w:hAnsi="楷体" w:eastAsia="楷体" w:cs="楷体"/>
          <w:b w:val="0"/>
          <w:bCs w:val="0"/>
          <w:sz w:val="32"/>
          <w:szCs w:val="32"/>
        </w:rPr>
        <w:t>（款）</w:t>
      </w:r>
      <w:r>
        <w:rPr>
          <w:rFonts w:hint="eastAsia" w:ascii="楷体" w:hAnsi="楷体" w:eastAsia="楷体" w:cs="楷体"/>
          <w:b w:val="0"/>
          <w:bCs w:val="0"/>
          <w:sz w:val="32"/>
          <w:szCs w:val="32"/>
          <w:lang w:eastAsia="zh-CN"/>
        </w:rPr>
        <w:t>事业单位离退休</w:t>
      </w:r>
      <w:r>
        <w:rPr>
          <w:rFonts w:hint="eastAsia" w:ascii="楷体" w:hAnsi="楷体" w:eastAsia="楷体" w:cs="楷体"/>
          <w:b w:val="0"/>
          <w:bCs w:val="0"/>
          <w:sz w:val="32"/>
          <w:szCs w:val="32"/>
        </w:rPr>
        <w:t>（项）</w:t>
      </w:r>
      <w:r>
        <w:rPr>
          <w:rFonts w:hint="eastAsia" w:ascii="楷体" w:hAnsi="楷体" w:eastAsia="楷体" w:cs="楷体"/>
          <w:b w:val="0"/>
          <w:bCs w:val="0"/>
          <w:color w:val="auto"/>
          <w:sz w:val="32"/>
        </w:rPr>
        <w:t>。</w:t>
      </w:r>
      <w:r>
        <w:rPr>
          <w:rFonts w:hint="eastAsia" w:ascii="仿宋" w:hAnsi="仿宋" w:eastAsia="仿宋"/>
          <w:color w:val="auto"/>
          <w:sz w:val="32"/>
        </w:rPr>
        <w:t>年初预算为</w:t>
      </w:r>
      <w:r>
        <w:rPr>
          <w:rFonts w:hint="eastAsia" w:ascii="仿宋" w:hAnsi="仿宋" w:eastAsia="仿宋"/>
          <w:color w:val="auto"/>
          <w:sz w:val="32"/>
          <w:lang w:val="en-US" w:eastAsia="zh-CN"/>
        </w:rPr>
        <w:t>0</w:t>
      </w:r>
      <w:r>
        <w:rPr>
          <w:rFonts w:hint="eastAsia" w:ascii="仿宋" w:hAnsi="仿宋" w:eastAsia="仿宋"/>
          <w:color w:val="auto"/>
          <w:sz w:val="32"/>
        </w:rPr>
        <w:t>万元，支出决算为</w:t>
      </w:r>
      <w:r>
        <w:rPr>
          <w:rFonts w:hint="eastAsia" w:ascii="仿宋" w:hAnsi="仿宋" w:eastAsia="仿宋"/>
          <w:color w:val="auto"/>
          <w:sz w:val="32"/>
          <w:lang w:val="en-US" w:eastAsia="zh-CN"/>
        </w:rPr>
        <w:t>9.12</w:t>
      </w:r>
      <w:r>
        <w:rPr>
          <w:rFonts w:hint="eastAsia" w:ascii="仿宋" w:hAnsi="仿宋" w:eastAsia="仿宋"/>
          <w:color w:val="auto"/>
          <w:sz w:val="32"/>
        </w:rPr>
        <w:t>万元，主要原因是</w:t>
      </w:r>
      <w:r>
        <w:rPr>
          <w:rFonts w:hint="eastAsia" w:ascii="仿宋" w:hAnsi="仿宋" w:eastAsia="仿宋"/>
          <w:color w:val="auto"/>
          <w:sz w:val="32"/>
          <w:lang w:val="en-US" w:eastAsia="zh-CN"/>
        </w:rPr>
        <w:t>未编入年初预算</w:t>
      </w:r>
      <w:r>
        <w:rPr>
          <w:rFonts w:hint="eastAsia" w:ascii="仿宋" w:hAnsi="仿宋" w:eastAsia="仿宋"/>
          <w:color w:val="auto"/>
          <w:sz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 w:hAnsi="仿宋" w:eastAsia="仿宋"/>
          <w:color w:val="FF0000"/>
          <w:sz w:val="32"/>
        </w:rPr>
      </w:pPr>
      <w:r>
        <w:rPr>
          <w:rFonts w:hint="eastAsia" w:ascii="仿宋" w:hAnsi="仿宋" w:eastAsia="仿宋"/>
          <w:sz w:val="32"/>
        </w:rPr>
        <w:t>2017年一般公共预算财政拨款基本支出345.51万元。与2016年相比，</w:t>
      </w:r>
      <w:r>
        <w:rPr>
          <w:rFonts w:hint="eastAsia" w:ascii="仿宋" w:hAnsi="仿宋" w:eastAsia="仿宋"/>
          <w:sz w:val="32"/>
          <w:lang w:val="en-US" w:eastAsia="zh-CN"/>
        </w:rPr>
        <w:t>减少25.08</w:t>
      </w:r>
      <w:r>
        <w:rPr>
          <w:rFonts w:hint="eastAsia" w:ascii="仿宋" w:hAnsi="仿宋" w:eastAsia="仿宋"/>
          <w:sz w:val="32"/>
        </w:rPr>
        <w:t>万元，</w:t>
      </w:r>
      <w:r>
        <w:rPr>
          <w:rFonts w:hint="eastAsia" w:ascii="仿宋" w:hAnsi="仿宋" w:eastAsia="仿宋"/>
          <w:sz w:val="32"/>
          <w:lang w:val="en-US" w:eastAsia="zh-CN"/>
        </w:rPr>
        <w:t>下降7.2</w:t>
      </w:r>
      <w:r>
        <w:rPr>
          <w:rFonts w:hint="eastAsia" w:ascii="仿宋" w:hAnsi="仿宋" w:eastAsia="仿宋"/>
          <w:sz w:val="32"/>
        </w:rPr>
        <w:t>%。变动的主要原因：</w:t>
      </w:r>
      <w:r>
        <w:rPr>
          <w:rFonts w:hint="eastAsia" w:ascii="仿宋" w:hAnsi="仿宋" w:eastAsia="仿宋"/>
          <w:sz w:val="32"/>
          <w:lang w:val="en-US" w:eastAsia="zh-CN"/>
        </w:rPr>
        <w:t>退休人员工资统一划归机关事业养老保险中心发放。</w:t>
      </w:r>
      <w:r>
        <w:rPr>
          <w:rFonts w:hint="eastAsia" w:ascii="仿宋" w:hAnsi="仿宋" w:eastAsia="仿宋"/>
          <w:sz w:val="32"/>
        </w:rPr>
        <w:t>。其中：人员经费261.82万元，主要包括：基本工资、津贴补贴</w:t>
      </w:r>
      <w:r>
        <w:rPr>
          <w:rFonts w:hint="eastAsia" w:ascii="仿宋" w:hAnsi="仿宋" w:eastAsia="仿宋"/>
          <w:sz w:val="32"/>
          <w:lang w:eastAsia="zh-CN"/>
        </w:rPr>
        <w:t>、</w:t>
      </w:r>
      <w:r>
        <w:rPr>
          <w:rFonts w:hint="eastAsia" w:ascii="仿宋" w:hAnsi="仿宋" w:eastAsia="仿宋"/>
          <w:color w:val="auto"/>
          <w:sz w:val="32"/>
        </w:rPr>
        <w:t>对个人和家庭的补助</w:t>
      </w:r>
      <w:r>
        <w:rPr>
          <w:rFonts w:hint="eastAsia" w:ascii="仿宋" w:hAnsi="仿宋" w:eastAsia="仿宋"/>
          <w:color w:val="auto"/>
          <w:sz w:val="32"/>
          <w:lang w:val="en-US" w:eastAsia="zh-CN"/>
        </w:rPr>
        <w:t>等、离休费、奖励金、其他对个人和家庭的补助支出</w:t>
      </w:r>
      <w:r>
        <w:rPr>
          <w:rFonts w:hint="eastAsia" w:ascii="仿宋" w:hAnsi="仿宋" w:eastAsia="仿宋"/>
          <w:color w:val="auto"/>
          <w:sz w:val="32"/>
        </w:rPr>
        <w:t>；公用经费83.69万元，主要包括：办公费</w:t>
      </w:r>
      <w:r>
        <w:rPr>
          <w:rFonts w:hint="eastAsia" w:ascii="仿宋" w:hAnsi="仿宋" w:eastAsia="仿宋"/>
          <w:color w:val="auto"/>
          <w:sz w:val="32"/>
          <w:lang w:eastAsia="zh-CN"/>
        </w:rPr>
        <w:t>、</w:t>
      </w:r>
      <w:r>
        <w:rPr>
          <w:rFonts w:hint="eastAsia" w:ascii="仿宋" w:hAnsi="仿宋" w:eastAsia="仿宋"/>
          <w:color w:val="auto"/>
          <w:sz w:val="32"/>
          <w:lang w:val="en-US" w:eastAsia="zh-CN"/>
        </w:rPr>
        <w:t>印刷费、电费、水费、邮电费、专用材料费、差旅费、维修（护）费、租赁费、培训费、公务接待费、劳务费、委托业务费、工会经费、公务用车运行维护费、其他交通费用、税金及附加费用、其他商品和服务支出等</w:t>
      </w:r>
      <w:r>
        <w:rPr>
          <w:rFonts w:hint="eastAsia" w:ascii="仿宋" w:hAnsi="仿宋" w:eastAsia="仿宋"/>
          <w:color w:val="FF0000"/>
          <w:sz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经费财政拨款支出决算总体情况说明。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经费财政拨款支出预算为3.48万元，支出决算为1.9万元，完成预算的</w:t>
      </w:r>
      <w:r>
        <w:rPr>
          <w:rFonts w:hint="eastAsia" w:ascii="仿宋" w:hAnsi="仿宋" w:eastAsia="仿宋"/>
          <w:sz w:val="32"/>
          <w:lang w:val="en-US" w:eastAsia="zh-CN"/>
        </w:rPr>
        <w:t>54.5</w:t>
      </w: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经费支出决算数与预算数存在差异的主要原因是</w:t>
      </w:r>
      <w:r>
        <w:rPr>
          <w:rFonts w:hint="eastAsia" w:ascii="仿宋" w:hAnsi="仿宋" w:eastAsia="仿宋"/>
          <w:sz w:val="32"/>
          <w:lang w:val="en-US" w:eastAsia="zh-CN"/>
        </w:rPr>
        <w:t>按照中央八项规定，控制三公经费支出</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楷体" w:hAnsi="楷体" w:eastAsia="楷体"/>
          <w:sz w:val="32"/>
        </w:rPr>
        <w:t>（二）</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经费财政拨款支出决算具体情况说明。</w:t>
      </w:r>
    </w:p>
    <w:p>
      <w:pPr>
        <w:spacing w:beforeLines="0" w:afterLines="0"/>
        <w:ind w:firstLine="640"/>
        <w:rPr>
          <w:rFonts w:hint="eastAsia" w:ascii="仿宋" w:hAnsi="仿宋" w:eastAsia="仿宋"/>
          <w:sz w:val="32"/>
        </w:rPr>
      </w:pPr>
      <w:r>
        <w:rPr>
          <w:rFonts w:hint="eastAsia" w:ascii="仿宋" w:hAnsi="仿宋" w:eastAsia="仿宋"/>
          <w:sz w:val="32"/>
        </w:rPr>
        <w:t>2017年度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经费财政拨款支出决算中，因公出国（境）费支出决算0万元，占0%，完成预算的0%；公务用车购置及运行费支出决算1万元，占</w:t>
      </w:r>
      <w:r>
        <w:rPr>
          <w:rFonts w:hint="eastAsia" w:ascii="仿宋" w:hAnsi="仿宋" w:eastAsia="仿宋"/>
          <w:sz w:val="32"/>
          <w:lang w:val="en-US" w:eastAsia="zh-CN"/>
        </w:rPr>
        <w:t>28.73</w:t>
      </w:r>
      <w:r>
        <w:rPr>
          <w:rFonts w:hint="eastAsia" w:ascii="仿宋" w:hAnsi="仿宋" w:eastAsia="仿宋"/>
          <w:sz w:val="32"/>
        </w:rPr>
        <w:t>%，完成预算的</w:t>
      </w:r>
      <w:r>
        <w:rPr>
          <w:rFonts w:hint="eastAsia" w:ascii="仿宋" w:hAnsi="仿宋" w:eastAsia="仿宋"/>
          <w:sz w:val="32"/>
          <w:lang w:val="en-US" w:eastAsia="zh-CN"/>
        </w:rPr>
        <w:t>28.73</w:t>
      </w:r>
      <w:r>
        <w:rPr>
          <w:rFonts w:hint="eastAsia" w:ascii="仿宋" w:hAnsi="仿宋" w:eastAsia="仿宋"/>
          <w:sz w:val="32"/>
        </w:rPr>
        <w:t>%；公务接待费支出决算0.9万元，占</w:t>
      </w:r>
      <w:r>
        <w:rPr>
          <w:rFonts w:hint="eastAsia" w:ascii="仿宋" w:hAnsi="仿宋" w:eastAsia="仿宋"/>
          <w:sz w:val="32"/>
          <w:lang w:val="en-US" w:eastAsia="zh-CN"/>
        </w:rPr>
        <w:t>25.86</w:t>
      </w:r>
      <w:r>
        <w:rPr>
          <w:rFonts w:hint="eastAsia" w:ascii="仿宋" w:hAnsi="仿宋" w:eastAsia="仿宋"/>
          <w:sz w:val="32"/>
        </w:rPr>
        <w:t>%，完成预算的</w:t>
      </w:r>
      <w:r>
        <w:rPr>
          <w:rFonts w:hint="eastAsia" w:ascii="仿宋" w:hAnsi="仿宋" w:eastAsia="仿宋"/>
          <w:sz w:val="32"/>
          <w:lang w:val="en-US" w:eastAsia="zh-CN"/>
        </w:rPr>
        <w:t>25.86</w:t>
      </w:r>
      <w:r>
        <w:rPr>
          <w:rFonts w:hint="eastAsia" w:ascii="仿宋" w:hAnsi="仿宋" w:eastAsia="仿宋"/>
          <w:sz w:val="32"/>
        </w:rPr>
        <w:t>%。具体情况如下：</w:t>
      </w:r>
    </w:p>
    <w:p>
      <w:pPr>
        <w:spacing w:beforeLines="0" w:afterLines="0"/>
        <w:ind w:firstLine="640"/>
        <w:jc w:val="left"/>
        <w:rPr>
          <w:rFonts w:hint="eastAsia" w:ascii="仿宋" w:hAnsi="仿宋" w:eastAsia="仿宋"/>
          <w:sz w:val="32"/>
        </w:rPr>
      </w:pPr>
      <w:r>
        <w:rPr>
          <w:rFonts w:hint="eastAsia" w:ascii="仿宋" w:hAnsi="仿宋" w:eastAsia="仿宋"/>
          <w:sz w:val="32"/>
        </w:rPr>
        <w:t>1．因公出国（境）费支出0万元。</w:t>
      </w:r>
      <w:r>
        <w:rPr>
          <w:rStyle w:val="4"/>
          <w:rFonts w:hint="eastAsia" w:ascii="宋体" w:hAnsi="宋体" w:eastAsia="宋体" w:cs="宋体"/>
          <w:b w:val="0"/>
          <w:color w:val="000000"/>
          <w:sz w:val="32"/>
          <w:szCs w:val="32"/>
          <w:lang w:eastAsia="zh-CN"/>
        </w:rPr>
        <w:t>全年安排因公出国（境）团组</w:t>
      </w:r>
      <w:r>
        <w:rPr>
          <w:rStyle w:val="4"/>
          <w:rFonts w:hint="eastAsia" w:ascii="宋体" w:hAnsi="宋体" w:eastAsia="宋体" w:cs="宋体"/>
          <w:b w:val="0"/>
          <w:color w:val="000000"/>
          <w:sz w:val="32"/>
          <w:szCs w:val="32"/>
          <w:lang w:val="en-US" w:eastAsia="zh-CN"/>
        </w:rPr>
        <w:t>0个，累计0人次。</w:t>
      </w:r>
      <w:r>
        <w:rPr>
          <w:rFonts w:hint="eastAsia" w:ascii="仿宋_GB2312" w:hAnsi="仿宋_GB2312" w:eastAsia="仿宋_GB2312" w:cs="仿宋_GB2312"/>
          <w:b/>
          <w:color w:val="000000"/>
        </w:rPr>
        <w:br w:type="textWrapping"/>
      </w:r>
    </w:p>
    <w:p>
      <w:pPr>
        <w:spacing w:beforeLines="0" w:afterLines="0"/>
        <w:ind w:firstLine="640"/>
        <w:jc w:val="left"/>
        <w:rPr>
          <w:rFonts w:hint="eastAsia" w:ascii="仿宋" w:hAnsi="仿宋" w:eastAsia="仿宋"/>
          <w:sz w:val="32"/>
        </w:rPr>
      </w:pPr>
      <w:r>
        <w:rPr>
          <w:rFonts w:hint="eastAsia" w:ascii="仿宋" w:hAnsi="仿宋" w:eastAsia="仿宋"/>
          <w:sz w:val="32"/>
        </w:rPr>
        <w:t>2．公务用车购置及运行费支出1万元。其中：</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公务用车购置支出为0万元，购置车辆</w:t>
      </w:r>
      <w:r>
        <w:rPr>
          <w:rFonts w:hint="eastAsia" w:ascii="仿宋" w:hAnsi="仿宋" w:eastAsia="仿宋"/>
          <w:sz w:val="32"/>
          <w:lang w:val="en-US" w:eastAsia="zh-CN"/>
        </w:rPr>
        <w:t>0</w:t>
      </w:r>
      <w:r>
        <w:rPr>
          <w:rFonts w:hint="eastAsia" w:ascii="仿宋" w:hAnsi="仿宋" w:eastAsia="仿宋"/>
          <w:sz w:val="32"/>
        </w:rPr>
        <w:t>台。</w:t>
      </w:r>
    </w:p>
    <w:p>
      <w:pPr>
        <w:spacing w:beforeLines="0" w:afterLines="0"/>
        <w:ind w:firstLine="640"/>
        <w:jc w:val="left"/>
        <w:rPr>
          <w:rFonts w:hint="eastAsia" w:ascii="仿宋" w:hAnsi="仿宋" w:eastAsia="仿宋"/>
          <w:sz w:val="32"/>
        </w:rPr>
      </w:pPr>
      <w:r>
        <w:rPr>
          <w:rFonts w:hint="eastAsia" w:ascii="仿宋" w:hAnsi="仿宋" w:eastAsia="仿宋"/>
          <w:sz w:val="32"/>
        </w:rPr>
        <w:t>公务用车运行支出1万元。主要用于</w:t>
      </w:r>
      <w:r>
        <w:rPr>
          <w:rFonts w:hint="eastAsia" w:ascii="仿宋" w:hAnsi="仿宋" w:eastAsia="仿宋"/>
          <w:sz w:val="32"/>
          <w:lang w:val="en-US" w:eastAsia="zh-CN"/>
        </w:rPr>
        <w:t>新闻采访、新闻转播</w:t>
      </w:r>
      <w:r>
        <w:rPr>
          <w:rFonts w:hint="eastAsia" w:ascii="仿宋" w:hAnsi="仿宋" w:eastAsia="仿宋"/>
          <w:sz w:val="32"/>
        </w:rPr>
        <w:t>。2017年期末，部门财政拨款公务用车保有量为5辆。</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公务用车购置运行费支出决算比2016年度</w:t>
      </w:r>
      <w:r>
        <w:rPr>
          <w:rFonts w:hint="eastAsia" w:ascii="仿宋" w:hAnsi="仿宋" w:eastAsia="仿宋"/>
          <w:sz w:val="32"/>
          <w:lang w:val="en-US" w:eastAsia="zh-CN"/>
        </w:rPr>
        <w:t>减少</w:t>
      </w:r>
      <w:r>
        <w:rPr>
          <w:rFonts w:hint="eastAsia" w:ascii="仿宋" w:hAnsi="仿宋" w:eastAsia="仿宋"/>
          <w:sz w:val="32"/>
        </w:rPr>
        <w:t>0</w:t>
      </w:r>
      <w:r>
        <w:rPr>
          <w:rFonts w:hint="eastAsia" w:ascii="仿宋" w:hAnsi="仿宋" w:eastAsia="仿宋"/>
          <w:sz w:val="32"/>
          <w:lang w:val="en-US" w:eastAsia="zh-CN"/>
        </w:rPr>
        <w:t>.32</w:t>
      </w:r>
      <w:r>
        <w:rPr>
          <w:rFonts w:hint="eastAsia" w:ascii="仿宋" w:hAnsi="仿宋" w:eastAsia="仿宋"/>
          <w:sz w:val="32"/>
        </w:rPr>
        <w:t>万元，</w:t>
      </w:r>
      <w:r>
        <w:rPr>
          <w:rFonts w:hint="eastAsia" w:ascii="仿宋" w:hAnsi="仿宋" w:eastAsia="仿宋"/>
          <w:sz w:val="32"/>
          <w:lang w:val="en-US" w:eastAsia="zh-CN"/>
        </w:rPr>
        <w:t>下降24</w:t>
      </w:r>
      <w:r>
        <w:rPr>
          <w:rFonts w:hint="eastAsia" w:ascii="仿宋" w:hAnsi="仿宋" w:eastAsia="仿宋"/>
          <w:sz w:val="32"/>
        </w:rPr>
        <w:t>%，主要原因是</w:t>
      </w:r>
      <w:r>
        <w:rPr>
          <w:rFonts w:hint="eastAsia" w:ascii="仿宋" w:hAnsi="仿宋" w:eastAsia="仿宋"/>
          <w:sz w:val="32"/>
          <w:lang w:val="en-US" w:eastAsia="zh-CN"/>
        </w:rPr>
        <w:t>控制公务用车运行费的支出</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仿宋" w:hAnsi="仿宋" w:eastAsia="仿宋"/>
          <w:sz w:val="32"/>
        </w:rPr>
        <w:t>3．公务接待费支出0.9万元。其中：</w:t>
      </w:r>
    </w:p>
    <w:p>
      <w:pPr>
        <w:spacing w:beforeLines="0" w:afterLines="0"/>
        <w:ind w:firstLine="640"/>
        <w:jc w:val="left"/>
        <w:rPr>
          <w:rFonts w:hint="eastAsia" w:ascii="仿宋" w:hAnsi="仿宋" w:eastAsia="仿宋"/>
          <w:sz w:val="32"/>
        </w:rPr>
      </w:pPr>
      <w:r>
        <w:rPr>
          <w:rFonts w:hint="eastAsia" w:ascii="仿宋" w:hAnsi="仿宋" w:eastAsia="仿宋"/>
          <w:sz w:val="32"/>
        </w:rPr>
        <w:t>外宾接待支出0万元。</w:t>
      </w:r>
    </w:p>
    <w:p>
      <w:pPr>
        <w:spacing w:beforeLines="0" w:afterLines="0"/>
        <w:ind w:firstLine="640"/>
        <w:jc w:val="left"/>
        <w:rPr>
          <w:rFonts w:hint="eastAsia" w:ascii="仿宋" w:hAnsi="仿宋" w:eastAsia="仿宋"/>
          <w:sz w:val="32"/>
        </w:rPr>
      </w:pPr>
      <w:r>
        <w:rPr>
          <w:rFonts w:hint="eastAsia" w:ascii="仿宋" w:hAnsi="仿宋" w:eastAsia="仿宋"/>
          <w:sz w:val="32"/>
        </w:rPr>
        <w:t>其他国内公务接待支出0.9万元，主要用于</w:t>
      </w:r>
      <w:r>
        <w:rPr>
          <w:rFonts w:hint="eastAsia" w:ascii="仿宋" w:hAnsi="仿宋" w:eastAsia="仿宋"/>
          <w:sz w:val="32"/>
          <w:lang w:val="en-US" w:eastAsia="zh-CN"/>
        </w:rPr>
        <w:t>厂家来我台维修设备，</w:t>
      </w:r>
      <w:r>
        <w:rPr>
          <w:rFonts w:hint="eastAsia" w:ascii="仿宋" w:hAnsi="仿宋" w:eastAsia="仿宋"/>
          <w:sz w:val="32"/>
        </w:rPr>
        <w:t>河南省濮阳市台前县广播电视台2017年度共接待国内来访团组22个、来访人员200人次（不包括陪同人员）。</w:t>
      </w:r>
    </w:p>
    <w:p>
      <w:pPr>
        <w:numPr>
          <w:ilvl w:val="0"/>
          <w:numId w:val="0"/>
        </w:numPr>
        <w:kinsoku w:val="0"/>
        <w:overflowPunct w:val="0"/>
        <w:autoSpaceDE w:val="0"/>
        <w:autoSpaceDN w:val="0"/>
        <w:adjustRightInd w:val="0"/>
        <w:snapToGrid w:val="0"/>
        <w:spacing w:line="360" w:lineRule="auto"/>
        <w:ind w:firstLine="640" w:firstLineChars="200"/>
        <w:rPr>
          <w:rFonts w:hint="eastAsia" w:ascii="仿宋" w:hAnsi="仿宋" w:eastAsia="仿宋"/>
          <w:sz w:val="32"/>
        </w:rPr>
      </w:pPr>
      <w:r>
        <w:rPr>
          <w:rFonts w:hint="eastAsia" w:ascii="仿宋" w:hAnsi="仿宋" w:eastAsia="仿宋"/>
          <w:sz w:val="32"/>
        </w:rPr>
        <w:t>公务接待费支出决算比2016年度</w:t>
      </w:r>
      <w:r>
        <w:rPr>
          <w:rFonts w:hint="eastAsia" w:ascii="仿宋" w:hAnsi="仿宋" w:eastAsia="仿宋"/>
          <w:sz w:val="32"/>
          <w:lang w:val="en-US" w:eastAsia="zh-CN"/>
        </w:rPr>
        <w:t>增加</w:t>
      </w:r>
      <w:r>
        <w:rPr>
          <w:rFonts w:hint="eastAsia" w:ascii="仿宋" w:hAnsi="仿宋" w:eastAsia="仿宋"/>
          <w:sz w:val="32"/>
        </w:rPr>
        <w:t>0</w:t>
      </w:r>
      <w:r>
        <w:rPr>
          <w:rFonts w:hint="eastAsia" w:ascii="仿宋" w:hAnsi="仿宋" w:eastAsia="仿宋"/>
          <w:sz w:val="32"/>
          <w:lang w:val="en-US" w:eastAsia="zh-CN"/>
        </w:rPr>
        <w:t>.4</w:t>
      </w:r>
      <w:r>
        <w:rPr>
          <w:rFonts w:hint="eastAsia" w:ascii="仿宋" w:hAnsi="仿宋" w:eastAsia="仿宋"/>
          <w:sz w:val="32"/>
        </w:rPr>
        <w:t>万元，</w:t>
      </w:r>
      <w:r>
        <w:rPr>
          <w:rFonts w:hint="eastAsia" w:ascii="仿宋" w:hAnsi="仿宋" w:eastAsia="仿宋"/>
          <w:sz w:val="32"/>
          <w:lang w:val="en-US" w:eastAsia="zh-CN"/>
        </w:rPr>
        <w:t>上升44</w:t>
      </w:r>
      <w:r>
        <w:rPr>
          <w:rFonts w:hint="eastAsia" w:ascii="仿宋" w:hAnsi="仿宋" w:eastAsia="仿宋"/>
          <w:sz w:val="32"/>
        </w:rPr>
        <w:t>%，主要原因是</w:t>
      </w:r>
      <w:r>
        <w:rPr>
          <w:rFonts w:hint="eastAsia" w:ascii="仿宋_GB2312" w:hAnsi="宋体" w:eastAsia="仿宋_GB2312" w:cs="Courier New"/>
          <w:sz w:val="32"/>
          <w:szCs w:val="32"/>
          <w:lang w:eastAsia="zh-CN"/>
        </w:rPr>
        <w:t>交流接待</w:t>
      </w:r>
      <w:r>
        <w:rPr>
          <w:rFonts w:hint="eastAsia" w:ascii="仿宋_GB2312" w:hAnsi="宋体" w:eastAsia="仿宋_GB2312" w:cs="Courier New"/>
          <w:sz w:val="32"/>
          <w:szCs w:val="32"/>
          <w:lang w:val="en-US" w:eastAsia="zh-CN"/>
        </w:rPr>
        <w:t>人员增加</w:t>
      </w:r>
      <w:r>
        <w:rPr>
          <w:rFonts w:hint="eastAsia" w:ascii="仿宋_GB2312" w:hAnsi="宋体" w:eastAsia="仿宋_GB2312" w:cs="Courier New"/>
          <w:sz w:val="32"/>
          <w:szCs w:val="32"/>
        </w:rPr>
        <w:t>。</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八、关于绩效情况说明</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根据上级财政部署，我单位充分认识到加强预算绩效管理工作的重要性和紧迫性，积极落实上级相关文件精神，不断强化绩效理念，加强绩效评价管理与资金监管相互融合，绩效评价在全过程管理机制不断完善。 </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（二）项目绩效自评结果。</w:t>
      </w:r>
    </w:p>
    <w:p>
      <w:pPr>
        <w:keepNext w:val="0"/>
        <w:keepLines w:val="0"/>
        <w:pageBreakBefore w:val="0"/>
        <w:numPr>
          <w:ilvl w:val="0"/>
          <w:numId w:val="0"/>
        </w:numPr>
        <w:wordWrap/>
        <w:topLinePunct w:val="0"/>
        <w:bidi w:val="0"/>
        <w:adjustRightInd w:val="0"/>
        <w:snapToGrid w:val="0"/>
        <w:spacing w:line="600" w:lineRule="exact"/>
        <w:ind w:right="0" w:rightChars="0" w:firstLine="640" w:firstLineChars="200"/>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bookmarkStart w:id="0" w:name="_GoBack"/>
      <w:bookmarkEnd w:id="0"/>
      <w:r>
        <w:rPr>
          <w:rFonts w:hint="eastAsia" w:asciiTheme="majorEastAsia" w:hAnsiTheme="majorEastAsia" w:eastAsiaTheme="majorEastAsia" w:cstheme="majorEastAsia"/>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spacing w:beforeLines="0" w:afterLines="0"/>
        <w:ind w:firstLine="640"/>
        <w:rPr>
          <w:rFonts w:hint="eastAsia" w:ascii="仿宋_GB2312" w:hAnsi="仿宋_GB2312" w:eastAsia="仿宋_GB2312" w:cs="仿宋_GB2312"/>
          <w:b w:val="0"/>
          <w:bCs/>
          <w:color w:val="auto"/>
          <w:sz w:val="32"/>
          <w:szCs w:val="32"/>
          <w:highlight w:val="none"/>
          <w:lang w:val="en-US" w:eastAsia="zh-CN"/>
        </w:rPr>
      </w:pPr>
      <w:r>
        <w:rPr>
          <w:rFonts w:hint="eastAsia" w:ascii="仿宋" w:hAnsi="仿宋" w:eastAsia="仿宋"/>
          <w:sz w:val="32"/>
        </w:rPr>
        <w:t>2017年度</w:t>
      </w:r>
      <w:r>
        <w:rPr>
          <w:rFonts w:hint="eastAsia" w:ascii="仿宋_GB2312" w:hAnsi="仿宋_GB2312" w:eastAsia="仿宋_GB2312" w:cs="仿宋_GB2312"/>
          <w:b w:val="0"/>
          <w:bCs/>
          <w:color w:val="auto"/>
          <w:kern w:val="0"/>
          <w:sz w:val="32"/>
          <w:szCs w:val="32"/>
          <w:lang w:eastAsia="zh-CN"/>
        </w:rPr>
        <w:t>广播电视台</w:t>
      </w:r>
      <w:r>
        <w:rPr>
          <w:rFonts w:hint="eastAsia" w:ascii="仿宋_GB2312" w:hAnsi="仿宋_GB2312" w:eastAsia="仿宋_GB2312" w:cs="仿宋_GB2312"/>
          <w:b w:val="0"/>
          <w:bCs/>
          <w:color w:val="auto"/>
          <w:kern w:val="0"/>
          <w:sz w:val="32"/>
          <w:szCs w:val="32"/>
        </w:rPr>
        <w:t>没有政府性基金收入，也没有使用政府性基金安排的支出</w:t>
      </w:r>
      <w:r>
        <w:rPr>
          <w:rFonts w:hint="eastAsia" w:ascii="仿宋_GB2312" w:hAnsi="仿宋_GB2312" w:eastAsia="仿宋_GB2312" w:cs="仿宋_GB2312"/>
          <w:b w:val="0"/>
          <w:bCs/>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spacing w:beforeLines="0" w:afterLines="0"/>
        <w:ind w:firstLine="640"/>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sz w:val="32"/>
        </w:rPr>
        <w:t>2017年度机关运行经费支出0万元。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spacing w:beforeLines="0" w:afterLines="0"/>
        <w:ind w:firstLine="640"/>
        <w:rPr>
          <w:rFonts w:hint="eastAsia" w:ascii="仿宋" w:hAnsi="仿宋" w:eastAsia="仿宋"/>
          <w:sz w:val="32"/>
        </w:rPr>
      </w:pPr>
      <w:r>
        <w:rPr>
          <w:rFonts w:hint="eastAsia" w:ascii="仿宋" w:hAnsi="仿宋" w:eastAsia="仿宋"/>
          <w:sz w:val="32"/>
        </w:rPr>
        <w:t>2017年度政府采购支出总额0万元，其中：政府采购货物支出0万元，政府采购工程支出0万元，政府采购服务支出0万元。。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spacing w:beforeLines="0" w:afterLines="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sz w:val="32"/>
        </w:rPr>
        <w:t>2017年期末，河南省濮阳市台前县广播电视台共有车辆5辆，其中：一般公务用车0辆、一般执法执勤用车0辆、特种专业技术用车5辆，其他用车0辆；单位价值50万元以上通用设备3台（套），单位价值100万元以上专用设备0台（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十三、其他重要事项的情况说明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无其他重要事项的情况说明</w:t>
      </w:r>
    </w:p>
    <w:p>
      <w:pPr>
        <w:widowControl/>
        <w:jc w:val="left"/>
        <w:rPr>
          <w:rFonts w:hint="eastAsia" w:ascii="仿宋_GB2312" w:hAnsi="仿宋_GB2312" w:eastAsia="仿宋_GB2312" w:cs="仿宋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center"/>
        <w:outlineLvl w:val="9"/>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单位从同级政府财政部门取得的各类财政拨款。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六、其他收入：单位取得的除“财政拨款收入”、“事业收入”、“上级补助收入”、“附属单位上缴收入”、“经营收入”等以外的收入。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黑体" w:hAnsi="仿宋_GB2312" w:eastAsia="黑体"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D41CC"/>
    <w:multiLevelType w:val="singleLevel"/>
    <w:tmpl w:val="807D41CC"/>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F2B38"/>
    <w:rsid w:val="012E277E"/>
    <w:rsid w:val="015814E1"/>
    <w:rsid w:val="11A9760E"/>
    <w:rsid w:val="1BFD7115"/>
    <w:rsid w:val="1CBE4F71"/>
    <w:rsid w:val="1D2F2B38"/>
    <w:rsid w:val="1E917ACB"/>
    <w:rsid w:val="29472B19"/>
    <w:rsid w:val="31572E8F"/>
    <w:rsid w:val="32D069C9"/>
    <w:rsid w:val="335D404E"/>
    <w:rsid w:val="39C727BD"/>
    <w:rsid w:val="3C9B20BE"/>
    <w:rsid w:val="41174117"/>
    <w:rsid w:val="46C31F56"/>
    <w:rsid w:val="49493860"/>
    <w:rsid w:val="4C556BE0"/>
    <w:rsid w:val="4FD23CD9"/>
    <w:rsid w:val="54C0492A"/>
    <w:rsid w:val="57D278DA"/>
    <w:rsid w:val="5A961BFF"/>
    <w:rsid w:val="5EA4117E"/>
    <w:rsid w:val="60654BC4"/>
    <w:rsid w:val="6D535020"/>
    <w:rsid w:val="6E833413"/>
    <w:rsid w:val="711A1AE3"/>
    <w:rsid w:val="725B30E0"/>
    <w:rsid w:val="77477C09"/>
    <w:rsid w:val="775251F9"/>
    <w:rsid w:val="7FE6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j\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2018-09-21T07:19:00Z</dcterms:created>
  <dc:creator>会飞的蜗牛</dc:creator>
  <cp:lastModifiedBy>Administrator</cp:lastModifiedBy>
  <cp:lastPrinted>2018-09-27T08:00:00Z</cp:lastPrinted>
  <dcterms:modified xsi:type="dcterms:W3CDTF">2018-09-30T09:14:45Z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