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中共台前县委政法委员会</w:t>
      </w:r>
    </w:p>
    <w:p>
      <w:pPr>
        <w:jc w:val="center"/>
        <w:rPr>
          <w:rFonts w:ascii="黑体" w:hAnsi="黑体" w:eastAsia="黑体"/>
          <w:sz w:val="52"/>
          <w:szCs w:val="52"/>
        </w:rPr>
      </w:pPr>
    </w:p>
    <w:p>
      <w:pPr>
        <w:jc w:val="center"/>
        <w:sectPr>
          <w:pgSz w:w="11906" w:h="16838"/>
          <w:pgMar w:top="1440" w:right="1531" w:bottom="1440" w:left="1587" w:header="850" w:footer="992" w:gutter="0"/>
          <w:pgNumType w:fmt="numberInDash" w:start="1"/>
          <w:cols w:space="720" w:num="1"/>
          <w:docGrid w:type="lines" w:linePitch="317" w:charSpace="0"/>
        </w:sectPr>
      </w:pPr>
      <w:r>
        <w:rPr>
          <w:rFonts w:ascii="隶书" w:hAnsi="隶书" w:eastAsia="隶书" w:cs="隶书"/>
          <w:sz w:val="52"/>
          <w:szCs w:val="52"/>
        </w:rPr>
        <w:t>201</w:t>
      </w:r>
      <w:r>
        <w:rPr>
          <w:rFonts w:hint="eastAsia" w:ascii="隶书" w:hAnsi="隶书" w:eastAsia="隶书" w:cs="隶书"/>
          <w:sz w:val="52"/>
          <w:szCs w:val="52"/>
          <w:lang w:val="en-US" w:eastAsia="zh-CN"/>
        </w:rPr>
        <w:t>7</w:t>
      </w:r>
      <w:r>
        <w:rPr>
          <w:rFonts w:hint="eastAsia" w:ascii="隶书" w:hAnsi="隶书" w:eastAsia="隶书" w:cs="隶书"/>
          <w:sz w:val="52"/>
          <w:szCs w:val="52"/>
        </w:rPr>
        <w:t>年度部门决算</w:t>
      </w:r>
    </w:p>
    <w:p>
      <w:pPr>
        <w:jc w:val="center"/>
        <w:rPr>
          <w:rFonts w:ascii="黑体" w:hAnsi="黑体" w:eastAsia="黑体"/>
          <w:sz w:val="36"/>
          <w:szCs w:val="36"/>
        </w:rPr>
      </w:pPr>
      <w:r>
        <w:rPr>
          <w:rFonts w:hint="eastAsia" w:ascii="黑体" w:hAnsi="黑体" w:eastAsia="黑体"/>
          <w:sz w:val="36"/>
          <w:szCs w:val="36"/>
        </w:rPr>
        <w:t>目　　录</w:t>
      </w:r>
    </w:p>
    <w:p>
      <w:pPr>
        <w:jc w:val="left"/>
        <w:rPr>
          <w:rFonts w:ascii="黑体" w:hAnsi="黑体" w:eastAsia="黑体"/>
          <w:sz w:val="32"/>
          <w:szCs w:val="32"/>
        </w:rPr>
      </w:pPr>
      <w:r>
        <w:rPr>
          <w:rFonts w:hint="eastAsia" w:ascii="黑体" w:hAnsi="黑体" w:eastAsia="黑体"/>
          <w:sz w:val="32"/>
          <w:szCs w:val="32"/>
        </w:rPr>
        <w:t>第一部分　　中共台前县委政法委员会概况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ascii="宋体" w:hAnsi="宋体" w:cs="宋体"/>
          <w:sz w:val="32"/>
          <w:szCs w:val="32"/>
        </w:rPr>
        <w:t>部门决算单位构成</w:t>
      </w:r>
    </w:p>
    <w:p>
      <w:pPr>
        <w:jc w:val="left"/>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 xml:space="preserve">    </w:t>
      </w:r>
      <w:r>
        <w:rPr>
          <w:rFonts w:ascii="黑体" w:hAnsi="黑体" w:eastAsia="黑体"/>
          <w:sz w:val="32"/>
          <w:szCs w:val="32"/>
        </w:rPr>
        <w:t>201</w:t>
      </w:r>
      <w:r>
        <w:rPr>
          <w:rFonts w:hint="eastAsia" w:ascii="黑体" w:hAnsi="黑体" w:eastAsia="黑体"/>
          <w:sz w:val="32"/>
          <w:szCs w:val="32"/>
          <w:lang w:val="en-US" w:eastAsia="zh-CN"/>
        </w:rPr>
        <w:t>7</w:t>
      </w:r>
      <w:r>
        <w:rPr>
          <w:rFonts w:hint="eastAsia" w:ascii="黑体" w:hAnsi="黑体" w:eastAsia="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sz w:val="32"/>
          <w:szCs w:val="32"/>
        </w:rPr>
      </w:pPr>
      <w:r>
        <w:rPr>
          <w:rFonts w:hint="eastAsia" w:ascii="黑体" w:hAnsi="黑体" w:eastAsia="黑体"/>
          <w:sz w:val="32"/>
          <w:szCs w:val="32"/>
        </w:rPr>
        <w:t>第三部分　　</w:t>
      </w:r>
      <w:r>
        <w:rPr>
          <w:rFonts w:ascii="黑体" w:hAnsi="黑体" w:eastAsia="黑体"/>
          <w:sz w:val="32"/>
          <w:szCs w:val="32"/>
        </w:rPr>
        <w:t>201</w:t>
      </w:r>
      <w:r>
        <w:rPr>
          <w:rFonts w:hint="eastAsia" w:ascii="黑体" w:hAnsi="黑体" w:eastAsia="黑体"/>
          <w:sz w:val="32"/>
          <w:szCs w:val="32"/>
          <w:lang w:val="en-US" w:eastAsia="zh-CN"/>
        </w:rPr>
        <w:t>7</w:t>
      </w:r>
      <w:r>
        <w:rPr>
          <w:rFonts w:hint="eastAsia" w:ascii="黑体" w:hAnsi="黑体" w:eastAsia="黑体"/>
          <w:sz w:val="32"/>
          <w:szCs w:val="32"/>
        </w:rPr>
        <w:t>年度部门决算情况说明</w:t>
      </w:r>
    </w:p>
    <w:p>
      <w:pPr>
        <w:jc w:val="left"/>
        <w:rPr>
          <w:rFonts w:hint="eastAsia" w:ascii="宋体" w:hAnsi="宋体" w:cs="宋体"/>
          <w:sz w:val="32"/>
          <w:szCs w:val="32"/>
        </w:rPr>
      </w:pPr>
      <w:r>
        <w:rPr>
          <w:rFonts w:hint="eastAsia" w:ascii="宋体" w:hAnsi="宋体" w:cs="宋体"/>
          <w:sz w:val="32"/>
          <w:szCs w:val="32"/>
        </w:rPr>
        <w:t>一、收入支出决算总体情况说明</w:t>
      </w:r>
    </w:p>
    <w:p>
      <w:pPr>
        <w:jc w:val="left"/>
        <w:rPr>
          <w:rFonts w:hint="eastAsia" w:ascii="宋体" w:hAnsi="宋体" w:cs="宋体"/>
          <w:sz w:val="32"/>
          <w:szCs w:val="32"/>
        </w:rPr>
      </w:pPr>
      <w:r>
        <w:rPr>
          <w:rFonts w:hint="eastAsia" w:ascii="宋体" w:hAnsi="宋体" w:cs="宋体"/>
          <w:sz w:val="32"/>
          <w:szCs w:val="32"/>
        </w:rPr>
        <w:t>二、收入决算情况说明</w:t>
      </w:r>
    </w:p>
    <w:p>
      <w:pPr>
        <w:jc w:val="left"/>
        <w:rPr>
          <w:rFonts w:hint="eastAsia" w:ascii="宋体" w:hAnsi="宋体" w:cs="宋体"/>
          <w:sz w:val="32"/>
          <w:szCs w:val="32"/>
        </w:rPr>
      </w:pPr>
      <w:r>
        <w:rPr>
          <w:rFonts w:hint="eastAsia" w:ascii="宋体" w:hAnsi="宋体" w:cs="宋体"/>
          <w:sz w:val="32"/>
          <w:szCs w:val="32"/>
        </w:rPr>
        <w:t>三、支出决算情况说明</w:t>
      </w:r>
    </w:p>
    <w:p>
      <w:pPr>
        <w:jc w:val="left"/>
        <w:rPr>
          <w:rFonts w:hint="eastAsia" w:ascii="宋体" w:hAnsi="宋体" w:cs="宋体"/>
          <w:sz w:val="32"/>
          <w:szCs w:val="32"/>
        </w:rPr>
      </w:pPr>
      <w:r>
        <w:rPr>
          <w:rFonts w:hint="eastAsia" w:ascii="宋体" w:hAnsi="宋体" w:cs="宋体"/>
          <w:sz w:val="32"/>
          <w:szCs w:val="32"/>
        </w:rPr>
        <w:t>四、财政拨款收入支出决算总体情况说明</w:t>
      </w:r>
    </w:p>
    <w:p>
      <w:pPr>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jc w:val="left"/>
        <w:rPr>
          <w:rFonts w:hint="eastAsia" w:ascii="宋体" w:hAnsi="宋体" w:cs="宋体"/>
          <w:sz w:val="32"/>
          <w:szCs w:val="32"/>
        </w:rPr>
      </w:pPr>
      <w:r>
        <w:rPr>
          <w:rFonts w:hint="eastAsia" w:ascii="宋体" w:hAnsi="宋体" w:cs="宋体"/>
          <w:sz w:val="32"/>
          <w:szCs w:val="32"/>
        </w:rPr>
        <w:t>八、预算绩效情况说明</w:t>
      </w:r>
    </w:p>
    <w:p>
      <w:pPr>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jc w:val="left"/>
        <w:rPr>
          <w:rFonts w:hint="eastAsia" w:ascii="宋体" w:hAnsi="宋体" w:cs="宋体"/>
          <w:sz w:val="32"/>
          <w:szCs w:val="32"/>
        </w:rPr>
      </w:pPr>
      <w:r>
        <w:rPr>
          <w:rFonts w:hint="eastAsia" w:ascii="宋体" w:hAnsi="宋体" w:cs="宋体"/>
          <w:sz w:val="32"/>
          <w:szCs w:val="32"/>
        </w:rPr>
        <w:t>十、机关运行经费支出情况说明</w:t>
      </w:r>
    </w:p>
    <w:p>
      <w:pPr>
        <w:jc w:val="left"/>
        <w:rPr>
          <w:rFonts w:hint="eastAsia" w:ascii="宋体" w:hAnsi="宋体" w:cs="宋体"/>
          <w:sz w:val="32"/>
          <w:szCs w:val="32"/>
        </w:rPr>
      </w:pPr>
      <w:r>
        <w:rPr>
          <w:rFonts w:hint="eastAsia" w:ascii="宋体" w:hAnsi="宋体" w:cs="宋体"/>
          <w:sz w:val="32"/>
          <w:szCs w:val="32"/>
        </w:rPr>
        <w:t>十一、政府采购支出情况说明</w:t>
      </w:r>
    </w:p>
    <w:p>
      <w:pPr>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宋体" w:hAnsi="宋体" w:eastAsia="宋体" w:cs="宋体"/>
          <w:sz w:val="32"/>
          <w:szCs w:val="32"/>
        </w:rPr>
      </w:pPr>
      <w:r>
        <w:rPr>
          <w:rFonts w:hint="eastAsia" w:ascii="宋体" w:hAnsi="宋体" w:eastAsia="宋体" w:cs="宋体"/>
          <w:sz w:val="32"/>
        </w:rPr>
        <w:t>十三、其他重要事项的情况说明</w:t>
      </w:r>
    </w:p>
    <w:p>
      <w:pPr>
        <w:jc w:val="left"/>
        <w:sectPr>
          <w:footerReference r:id="rId4"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sz w:val="32"/>
          <w:szCs w:val="32"/>
        </w:rPr>
        <w:t>第四部分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center"/>
        <w:outlineLvl w:val="0"/>
        <w:sectPr>
          <w:footerReference r:id="rId5" w:type="default"/>
          <w:pgSz w:w="11906" w:h="16838"/>
          <w:pgMar w:top="1440" w:right="1531" w:bottom="1440" w:left="1587" w:header="850" w:footer="992" w:gutter="0"/>
          <w:pgNumType w:fmt="numberInDash" w:start="1"/>
          <w:cols w:space="720" w:num="1"/>
          <w:docGrid w:type="lines" w:linePitch="317" w:charSpace="0"/>
        </w:sectPr>
      </w:pPr>
      <w:r>
        <w:rPr>
          <w:rFonts w:hint="eastAsia" w:ascii="隶书" w:hAnsi="隶书" w:eastAsia="隶书" w:cs="隶书"/>
          <w:sz w:val="48"/>
          <w:szCs w:val="48"/>
        </w:rPr>
        <w:t>第一部分　</w:t>
      </w:r>
      <w:r>
        <w:rPr>
          <w:rFonts w:hint="eastAsia" w:ascii="仿宋" w:hAnsi="仿宋" w:eastAsia="仿宋" w:cs="仿宋"/>
          <w:sz w:val="48"/>
          <w:szCs w:val="48"/>
        </w:rPr>
        <w:t>中共台前县委政法委员会概况</w:t>
      </w:r>
    </w:p>
    <w:p>
      <w:pPr>
        <w:numPr>
          <w:ilvl w:val="0"/>
          <w:numId w:val="2"/>
        </w:numPr>
        <w:spacing w:line="360" w:lineRule="auto"/>
        <w:ind w:firstLine="640" w:firstLineChars="200"/>
        <w:jc w:val="left"/>
        <w:outlineLvl w:val="1"/>
        <w:rPr>
          <w:rFonts w:ascii="黑体" w:hAnsi="黑体" w:eastAsia="黑体"/>
          <w:color w:val="444444"/>
          <w:sz w:val="32"/>
          <w:szCs w:val="32"/>
        </w:rPr>
      </w:pPr>
      <w:r>
        <w:rPr>
          <w:rFonts w:hint="eastAsia" w:ascii="黑体" w:hAnsi="黑体" w:eastAsia="黑体"/>
          <w:sz w:val="32"/>
          <w:szCs w:val="32"/>
        </w:rPr>
        <w:t>主要职责</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 xml:space="preserve">    1</w:t>
      </w:r>
      <w:r>
        <w:rPr>
          <w:rFonts w:hint="eastAsia" w:ascii="仿宋" w:hAnsi="仿宋" w:eastAsia="仿宋" w:cs="仿宋"/>
          <w:color w:val="444444"/>
          <w:sz w:val="32"/>
          <w:szCs w:val="32"/>
        </w:rPr>
        <w:t>、根据党的路线、方针、政策和县委的部署，统一政法各部门的思想和行动。</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2</w:t>
      </w:r>
      <w:r>
        <w:rPr>
          <w:rFonts w:hint="eastAsia" w:ascii="仿宋" w:hAnsi="仿宋" w:eastAsia="仿宋" w:cs="仿宋"/>
          <w:color w:val="444444"/>
          <w:sz w:val="32"/>
          <w:szCs w:val="32"/>
        </w:rPr>
        <w:t>、对全县政法工作作出全局性部署，并督促贯彻落实。</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3</w:t>
      </w:r>
      <w:r>
        <w:rPr>
          <w:rFonts w:hint="eastAsia" w:ascii="仿宋" w:hAnsi="仿宋" w:eastAsia="仿宋" w:cs="仿宋"/>
          <w:color w:val="444444"/>
          <w:sz w:val="32"/>
          <w:szCs w:val="32"/>
        </w:rPr>
        <w:t>、协调指导全县维护社会稳定工作。</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4</w:t>
      </w:r>
      <w:r>
        <w:rPr>
          <w:rFonts w:hint="eastAsia" w:ascii="仿宋" w:hAnsi="仿宋" w:eastAsia="仿宋" w:cs="仿宋"/>
          <w:color w:val="444444"/>
          <w:sz w:val="32"/>
          <w:szCs w:val="32"/>
        </w:rPr>
        <w:t>、检查政法部门执行法律法规和党的方针政策的情况，结合全县实际，研究制定严肃执法、落实党的方针政策的具体措施。</w:t>
      </w:r>
    </w:p>
    <w:p>
      <w:pPr>
        <w:spacing w:line="360" w:lineRule="auto"/>
        <w:jc w:val="left"/>
        <w:outlineLvl w:val="1"/>
        <w:rPr>
          <w:rFonts w:ascii="仿宋" w:hAnsi="仿宋" w:eastAsia="仿宋" w:cs="仿宋"/>
          <w:color w:val="444444"/>
          <w:sz w:val="32"/>
          <w:szCs w:val="32"/>
        </w:rPr>
      </w:pPr>
      <w:r>
        <w:rPr>
          <w:rFonts w:ascii="仿宋" w:hAnsi="仿宋" w:eastAsia="仿宋" w:cs="仿宋"/>
          <w:color w:val="444444"/>
          <w:sz w:val="32"/>
          <w:szCs w:val="32"/>
        </w:rPr>
        <w:t>5</w:t>
      </w:r>
      <w:r>
        <w:rPr>
          <w:rFonts w:hint="eastAsia" w:ascii="仿宋" w:hAnsi="仿宋" w:eastAsia="仿宋" w:cs="仿宋"/>
          <w:color w:val="444444"/>
          <w:sz w:val="32"/>
          <w:szCs w:val="32"/>
        </w:rPr>
        <w:t>、监督和支持政法各部门依法行使职权，指导和协调政法各部门在依法相互制约同时密切配合，督促、推动大案要案的查处工作，研究讨论协调有争议的重大、疑难案件。　</w:t>
      </w:r>
      <w:r>
        <w:rPr>
          <w:rFonts w:ascii="仿宋" w:hAnsi="仿宋" w:eastAsia="仿宋" w:cs="仿宋"/>
          <w:color w:val="444444"/>
          <w:sz w:val="32"/>
          <w:szCs w:val="32"/>
        </w:rPr>
        <w:t xml:space="preserve">   </w:t>
      </w:r>
    </w:p>
    <w:p>
      <w:pPr>
        <w:spacing w:line="580" w:lineRule="exact"/>
        <w:jc w:val="left"/>
        <w:rPr>
          <w:rFonts w:ascii="仿宋" w:hAnsi="仿宋" w:eastAsia="仿宋" w:cs="仿宋"/>
          <w:color w:val="444444"/>
          <w:sz w:val="32"/>
          <w:szCs w:val="32"/>
        </w:rPr>
      </w:pPr>
      <w:r>
        <w:rPr>
          <w:rFonts w:ascii="仿宋" w:hAnsi="仿宋" w:eastAsia="仿宋" w:cs="仿宋"/>
          <w:color w:val="444444"/>
          <w:sz w:val="32"/>
          <w:szCs w:val="32"/>
        </w:rPr>
        <w:t>6</w:t>
      </w:r>
      <w:r>
        <w:rPr>
          <w:rFonts w:hint="eastAsia" w:ascii="仿宋" w:hAnsi="仿宋" w:eastAsia="仿宋" w:cs="仿宋"/>
          <w:color w:val="444444"/>
          <w:sz w:val="32"/>
          <w:szCs w:val="32"/>
        </w:rPr>
        <w:t>、组织、协调全县社会治安综合治理工作，推动各项措施的落实。</w:t>
      </w:r>
      <w:r>
        <w:rPr>
          <w:rFonts w:ascii="仿宋" w:hAnsi="仿宋" w:eastAsia="仿宋" w:cs="仿宋"/>
          <w:sz w:val="32"/>
          <w:szCs w:val="32"/>
        </w:rPr>
        <w:br/>
      </w:r>
      <w:r>
        <w:rPr>
          <w:rFonts w:ascii="仿宋" w:hAnsi="仿宋" w:eastAsia="仿宋" w:cs="仿宋"/>
          <w:color w:val="444444"/>
          <w:sz w:val="32"/>
          <w:szCs w:val="32"/>
        </w:rPr>
        <w:t>7</w:t>
      </w:r>
      <w:r>
        <w:rPr>
          <w:rFonts w:hint="eastAsia" w:ascii="仿宋" w:hAnsi="仿宋" w:eastAsia="仿宋" w:cs="仿宋"/>
          <w:color w:val="444444"/>
          <w:sz w:val="32"/>
          <w:szCs w:val="32"/>
        </w:rPr>
        <w:t>、组织推动政法战线的调查研究工作，总结新经验，解决新问题，推进司法改革。</w:t>
      </w:r>
      <w:r>
        <w:rPr>
          <w:rFonts w:ascii="仿宋" w:hAnsi="仿宋" w:eastAsia="仿宋" w:cs="仿宋"/>
          <w:sz w:val="32"/>
          <w:szCs w:val="32"/>
        </w:rPr>
        <w:br/>
      </w:r>
      <w:r>
        <w:rPr>
          <w:rFonts w:ascii="仿宋" w:hAnsi="仿宋" w:eastAsia="仿宋" w:cs="仿宋"/>
          <w:color w:val="444444"/>
          <w:sz w:val="32"/>
          <w:szCs w:val="32"/>
        </w:rPr>
        <w:t>8</w:t>
      </w:r>
      <w:r>
        <w:rPr>
          <w:rFonts w:hint="eastAsia" w:ascii="仿宋" w:hAnsi="仿宋" w:eastAsia="仿宋" w:cs="仿宋"/>
          <w:color w:val="444444"/>
          <w:sz w:val="32"/>
          <w:szCs w:val="32"/>
        </w:rPr>
        <w:t>、研究加强政法队伍建设和领导班子建设的措施，协助党委组织部门考察、管理同级政法部门的领导干部。</w:t>
      </w:r>
      <w:r>
        <w:rPr>
          <w:rFonts w:ascii="仿宋" w:hAnsi="仿宋" w:eastAsia="仿宋" w:cs="仿宋"/>
          <w:sz w:val="32"/>
          <w:szCs w:val="32"/>
        </w:rPr>
        <w:br/>
      </w:r>
      <w:r>
        <w:rPr>
          <w:rFonts w:ascii="仿宋" w:hAnsi="仿宋" w:eastAsia="仿宋" w:cs="仿宋"/>
          <w:color w:val="444444"/>
          <w:sz w:val="32"/>
          <w:szCs w:val="32"/>
        </w:rPr>
        <w:t>9</w:t>
      </w:r>
      <w:r>
        <w:rPr>
          <w:rFonts w:hint="eastAsia" w:ascii="仿宋" w:hAnsi="仿宋" w:eastAsia="仿宋" w:cs="仿宋"/>
          <w:color w:val="444444"/>
          <w:sz w:val="32"/>
          <w:szCs w:val="32"/>
        </w:rPr>
        <w:t>、指导下级政法委员会的工作。</w:t>
      </w:r>
      <w:r>
        <w:rPr>
          <w:rFonts w:ascii="仿宋" w:hAnsi="仿宋" w:eastAsia="仿宋" w:cs="仿宋"/>
          <w:sz w:val="32"/>
          <w:szCs w:val="32"/>
        </w:rPr>
        <w:br/>
      </w:r>
      <w:r>
        <w:rPr>
          <w:rFonts w:ascii="仿宋" w:hAnsi="仿宋" w:eastAsia="仿宋" w:cs="仿宋"/>
          <w:color w:val="444444"/>
          <w:sz w:val="32"/>
          <w:szCs w:val="32"/>
        </w:rPr>
        <w:t>10</w:t>
      </w:r>
      <w:r>
        <w:rPr>
          <w:rFonts w:hint="eastAsia" w:ascii="仿宋" w:hAnsi="仿宋" w:eastAsia="仿宋" w:cs="仿宋"/>
          <w:color w:val="444444"/>
          <w:sz w:val="32"/>
          <w:szCs w:val="32"/>
        </w:rPr>
        <w:t>、办理县委和市委政法委员会交办的其他事项。</w:t>
      </w:r>
    </w:p>
    <w:p>
      <w:pPr>
        <w:adjustRightInd w:val="0"/>
        <w:snapToGrid w:val="0"/>
        <w:spacing w:line="360" w:lineRule="auto"/>
        <w:ind w:firstLine="640"/>
        <w:rPr>
          <w:rFonts w:ascii="华文仿宋" w:hAnsi="华文仿宋" w:eastAsia="华文仿宋"/>
          <w:sz w:val="32"/>
          <w:szCs w:val="32"/>
        </w:rPr>
      </w:pPr>
      <w:r>
        <w:rPr>
          <w:rFonts w:hint="eastAsia" w:ascii="仿宋" w:hAnsi="仿宋" w:eastAsia="仿宋" w:cs="仿宋"/>
          <w:color w:val="444444"/>
          <w:sz w:val="32"/>
          <w:szCs w:val="32"/>
        </w:rPr>
        <w:t>机构设置</w:t>
      </w:r>
      <w:r>
        <w:rPr>
          <w:rFonts w:hint="eastAsia" w:ascii="华文仿宋" w:hAnsi="华文仿宋" w:eastAsia="华文仿宋" w:cs="仿宋_GB2312"/>
          <w:sz w:val="32"/>
          <w:szCs w:val="32"/>
        </w:rPr>
        <w:t>县委政法委员会设三个科室：办公室、政治处、县综治办业务室；台前县人民政府防范和处理邪教办公室仍设置在县委政法委员会，中共台前县委维护稳定工作领导小组办公室，国家安全领导小组办公室，台前县国家安全领导办公室社情中心，台前县政法系统纪律检查工作委员会。本部门没有独立核算的下级预算单位，部门本级预算即汇总预算。</w:t>
      </w:r>
    </w:p>
    <w:p>
      <w:pPr>
        <w:spacing w:line="580" w:lineRule="exact"/>
        <w:jc w:val="left"/>
        <w:rPr>
          <w:rFonts w:ascii="仿宋" w:hAnsi="仿宋" w:eastAsia="仿宋" w:cs="仿宋"/>
          <w:sz w:val="32"/>
          <w:szCs w:val="32"/>
        </w:rPr>
      </w:pPr>
    </w:p>
    <w:p>
      <w:pPr>
        <w:numPr>
          <w:ilvl w:val="0"/>
          <w:numId w:val="3"/>
        </w:numPr>
        <w:spacing w:line="360" w:lineRule="auto"/>
        <w:ind w:firstLine="640" w:firstLineChars="200"/>
        <w:jc w:val="left"/>
        <w:outlineLvl w:val="1"/>
        <w:rPr>
          <w:rFonts w:ascii="黑体" w:hAnsi="黑体" w:eastAsia="黑体"/>
          <w:sz w:val="32"/>
          <w:szCs w:val="32"/>
        </w:rPr>
      </w:pPr>
      <w:r>
        <w:rPr>
          <w:rFonts w:hint="eastAsia" w:ascii="黑体" w:hAnsi="黑体" w:eastAsia="黑体"/>
          <w:sz w:val="32"/>
          <w:szCs w:val="32"/>
        </w:rPr>
        <w:t>部门决算单位构成</w:t>
      </w:r>
    </w:p>
    <w:p>
      <w:pPr>
        <w:jc w:val="left"/>
        <w:rPr>
          <w:rFonts w:ascii="黑体" w:hAnsi="黑体" w:eastAsia="黑体" w:cs="Times New Roman"/>
          <w:sz w:val="32"/>
          <w:szCs w:val="32"/>
        </w:rPr>
      </w:pPr>
      <w:r>
        <w:rPr>
          <w:rFonts w:hint="eastAsia" w:hAnsi="宋体" w:cs="Courier New"/>
          <w:sz w:val="32"/>
          <w:szCs w:val="32"/>
        </w:rPr>
        <w:t>本部门没有独立核算的下级预算单位，本决算为本部门汇总决算</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sectPr>
          <w:pgSz w:w="11906" w:h="16838"/>
          <w:pgMar w:top="1440" w:right="1531" w:bottom="1440" w:left="1587" w:header="850" w:footer="992" w:gutter="0"/>
          <w:pgNumType w:fmt="numberInDash"/>
          <w:cols w:space="720" w:num="1"/>
          <w:docGrid w:type="lines" w:linePitch="317" w:charSpace="0"/>
        </w:sectPr>
      </w:pPr>
      <w:r>
        <w:rPr>
          <w:rFonts w:ascii="仿宋" w:hAnsi="仿宋" w:eastAsia="仿宋" w:cs="仿宋"/>
          <w:sz w:val="48"/>
          <w:szCs w:val="48"/>
        </w:rPr>
        <w:t>201</w:t>
      </w:r>
      <w:r>
        <w:rPr>
          <w:rFonts w:hint="eastAsia" w:ascii="仿宋" w:hAnsi="仿宋" w:eastAsia="仿宋" w:cs="仿宋"/>
          <w:sz w:val="48"/>
          <w:szCs w:val="48"/>
          <w:lang w:val="en-US" w:eastAsia="zh-CN"/>
        </w:rPr>
        <w:t>7</w:t>
      </w:r>
      <w:r>
        <w:rPr>
          <w:rFonts w:hint="eastAsia" w:ascii="仿宋" w:hAnsi="仿宋" w:eastAsia="仿宋" w:cs="仿宋"/>
          <w:sz w:val="48"/>
          <w:szCs w:val="48"/>
        </w:rPr>
        <w:t>年度部门决算表</w:t>
      </w:r>
    </w:p>
    <w:tbl>
      <w:tblPr>
        <w:tblStyle w:val="5"/>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hAnsi="宋体" w:cs="宋体"/>
                <w:color w:val="000000"/>
                <w:sz w:val="16"/>
                <w:szCs w:val="16"/>
                <w:lang w:val="en-US" w:eastAsia="zh-CN"/>
              </w:rPr>
              <w:t>422.62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hint="eastAsia" w:ascii="宋体" w:hAnsi="宋体" w:cs="宋体"/>
                <w:color w:val="000000"/>
                <w:sz w:val="16"/>
                <w:szCs w:val="16"/>
                <w:lang w:val="en-US" w:eastAsia="zh-CN"/>
              </w:rPr>
              <w:t>422.62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sectPr>
          <w:pgSz w:w="11906" w:h="16838"/>
          <w:pgMar w:top="1440" w:right="1800" w:bottom="1440" w:left="1800" w:header="851" w:footer="992" w:gutter="0"/>
          <w:pgNumType w:fmt="numberInDash"/>
          <w:cols w:space="720" w:num="1"/>
          <w:docGrid w:type="lines" w:linePitch="312" w:charSpace="0"/>
        </w:sectPr>
      </w:pPr>
    </w:p>
    <w:tbl>
      <w:tblPr>
        <w:tblStyle w:val="5"/>
        <w:tblW w:w="10401" w:type="dxa"/>
        <w:tblInd w:w="-8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9"/>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01" w:type="dxa"/>
            <w:gridSpan w:val="16"/>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01"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01"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3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w:t>
            </w:r>
            <w:r>
              <w:rPr>
                <w:rFonts w:ascii="宋体" w:hAnsi="宋体" w:cs="宋体"/>
                <w:b/>
                <w:color w:val="000000"/>
                <w:kern w:val="0"/>
                <w:sz w:val="16"/>
                <w:szCs w:val="16"/>
              </w:rPr>
              <w:t xml:space="preserve"> </w:t>
            </w:r>
            <w:r>
              <w:rPr>
                <w:rFonts w:hint="eastAsia" w:ascii="宋体" w:hAnsi="宋体" w:cs="宋体"/>
                <w:b/>
                <w:color w:val="000000"/>
                <w:kern w:val="0"/>
                <w:sz w:val="16"/>
                <w:szCs w:val="16"/>
              </w:rPr>
              <w:t>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3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3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党委办公厅及相关机构事务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9"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01" w:type="dxa"/>
            <w:gridSpan w:val="1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sectPr>
          <w:pgSz w:w="11906" w:h="16838"/>
          <w:pgMar w:top="2098" w:right="1531" w:bottom="1984" w:left="1587" w:header="850" w:footer="992" w:gutter="0"/>
          <w:pgNumType w:fmt="numberInDash"/>
          <w:cols w:space="720" w:num="1"/>
          <w:docGrid w:type="lines" w:linePitch="317" w:charSpace="0"/>
        </w:sectPr>
      </w:pPr>
    </w:p>
    <w:tbl>
      <w:tblPr>
        <w:tblStyle w:val="5"/>
        <w:tblW w:w="10350"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4"/>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r>
            <w:r>
              <w:rPr>
                <w:rFonts w:hint="eastAsia" w:ascii="宋体" w:hAnsi="宋体" w:cs="宋体"/>
                <w:b/>
                <w:color w:val="000000"/>
                <w:kern w:val="0"/>
                <w:sz w:val="16"/>
                <w:szCs w:val="16"/>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党委办公厅及相关机构事务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350"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sectPr>
          <w:pgSz w:w="11906" w:h="16838"/>
          <w:pgMar w:top="2098" w:right="1474" w:bottom="1984" w:left="1587" w:header="850" w:footer="992" w:gutter="0"/>
          <w:pgNumType w:fmt="numberInDash"/>
          <w:cols w:space="720" w:num="1"/>
          <w:docGrid w:type="lines" w:linePitch="318" w:charSpace="0"/>
        </w:sectPr>
      </w:pPr>
    </w:p>
    <w:tbl>
      <w:tblPr>
        <w:tblStyle w:val="5"/>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w:t>
            </w:r>
            <w:r>
              <w:rPr>
                <w:rFonts w:ascii="宋体" w:hAnsi="宋体" w:cs="宋体"/>
                <w:b/>
                <w:color w:val="000000"/>
                <w:kern w:val="0"/>
                <w:sz w:val="16"/>
                <w:szCs w:val="16"/>
              </w:rPr>
              <w:t xml:space="preserve">    </w:t>
            </w:r>
            <w:r>
              <w:rPr>
                <w:rFonts w:hint="eastAsia" w:ascii="宋体" w:hAnsi="宋体" w:cs="宋体"/>
                <w:b/>
                <w:color w:val="000000"/>
                <w:kern w:val="0"/>
                <w:sz w:val="16"/>
                <w:szCs w:val="16"/>
              </w:rPr>
              <w:t>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pPr>
        <w:spacing w:line="360" w:lineRule="auto"/>
        <w:jc w:val="center"/>
        <w:rPr>
          <w:rFonts w:ascii="隶书" w:hAnsi="隶书" w:eastAsia="隶书" w:cs="隶书"/>
          <w:sz w:val="52"/>
          <w:szCs w:val="52"/>
        </w:rPr>
      </w:pPr>
    </w:p>
    <w:tbl>
      <w:tblPr>
        <w:tblStyle w:val="5"/>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sz w:val="16"/>
                <w:szCs w:val="16"/>
                <w:lang w:val="en-US" w:eastAsia="zh-CN"/>
              </w:rPr>
              <w:t>422.62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党委办公厅及相关机构事务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2013101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sz w:val="16"/>
                <w:szCs w:val="16"/>
                <w:lang w:val="en-US" w:eastAsia="zh-CN"/>
              </w:rPr>
              <w:t>422.62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pPr>
        <w:spacing w:line="360" w:lineRule="auto"/>
        <w:jc w:val="center"/>
        <w:sectPr>
          <w:pgSz w:w="11906" w:h="16838"/>
          <w:pgMar w:top="1440" w:right="1531" w:bottom="1440" w:left="1587" w:header="850" w:footer="992" w:gutter="0"/>
          <w:pgNumType w:fmt="numberInDash"/>
          <w:cols w:space="720" w:num="1"/>
          <w:docGrid w:type="lines" w:linePitch="317" w:charSpace="0"/>
        </w:sectPr>
      </w:pPr>
    </w:p>
    <w:tbl>
      <w:tblPr>
        <w:tblStyle w:val="5"/>
        <w:tblW w:w="10501"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
        <w:gridCol w:w="714"/>
        <w:gridCol w:w="190"/>
        <w:gridCol w:w="743"/>
        <w:gridCol w:w="116"/>
        <w:gridCol w:w="62"/>
        <w:gridCol w:w="585"/>
        <w:gridCol w:w="115"/>
        <w:gridCol w:w="514"/>
        <w:gridCol w:w="336"/>
        <w:gridCol w:w="65"/>
        <w:gridCol w:w="229"/>
        <w:gridCol w:w="629"/>
        <w:gridCol w:w="77"/>
        <w:gridCol w:w="685"/>
        <w:gridCol w:w="230"/>
        <w:gridCol w:w="509"/>
        <w:gridCol w:w="15"/>
        <w:gridCol w:w="117"/>
        <w:gridCol w:w="281"/>
        <w:gridCol w:w="234"/>
        <w:gridCol w:w="630"/>
        <w:gridCol w:w="59"/>
        <w:gridCol w:w="473"/>
        <w:gridCol w:w="98"/>
        <w:gridCol w:w="249"/>
        <w:gridCol w:w="381"/>
        <w:gridCol w:w="439"/>
        <w:gridCol w:w="1"/>
        <w:gridCol w:w="819"/>
        <w:gridCol w:w="870"/>
        <w:gridCol w:w="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75" w:hRule="atLeast"/>
        </w:trPr>
        <w:tc>
          <w:tcPr>
            <w:tcW w:w="10486" w:type="dxa"/>
            <w:gridSpan w:val="31"/>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285" w:hRule="atLeast"/>
        </w:trPr>
        <w:tc>
          <w:tcPr>
            <w:tcW w:w="1647" w:type="dxa"/>
            <w:gridSpan w:val="3"/>
            <w:vAlign w:val="center"/>
          </w:tcPr>
          <w:p>
            <w:pPr>
              <w:rPr>
                <w:rFonts w:ascii="宋体" w:cs="宋体"/>
                <w:color w:val="000000"/>
                <w:sz w:val="16"/>
                <w:szCs w:val="16"/>
              </w:rPr>
            </w:pPr>
          </w:p>
        </w:tc>
        <w:tc>
          <w:tcPr>
            <w:tcW w:w="1793" w:type="dxa"/>
            <w:gridSpan w:val="7"/>
            <w:vAlign w:val="center"/>
          </w:tcPr>
          <w:p>
            <w:pPr>
              <w:rPr>
                <w:rFonts w:ascii="宋体" w:cs="宋体"/>
                <w:color w:val="000000"/>
                <w:sz w:val="16"/>
                <w:szCs w:val="16"/>
              </w:rPr>
            </w:pPr>
          </w:p>
        </w:tc>
        <w:tc>
          <w:tcPr>
            <w:tcW w:w="1620" w:type="dxa"/>
            <w:gridSpan w:val="4"/>
            <w:vAlign w:val="center"/>
          </w:tcPr>
          <w:p>
            <w:pPr>
              <w:rPr>
                <w:rFonts w:ascii="宋体" w:cs="宋体"/>
                <w:color w:val="000000"/>
                <w:sz w:val="16"/>
                <w:szCs w:val="16"/>
              </w:rPr>
            </w:pPr>
          </w:p>
        </w:tc>
        <w:tc>
          <w:tcPr>
            <w:tcW w:w="754" w:type="dxa"/>
            <w:gridSpan w:val="3"/>
            <w:vAlign w:val="center"/>
          </w:tcPr>
          <w:p>
            <w:pPr>
              <w:rPr>
                <w:rFonts w:ascii="宋体" w:cs="宋体"/>
                <w:color w:val="000000"/>
                <w:sz w:val="16"/>
                <w:szCs w:val="16"/>
              </w:rPr>
            </w:pPr>
          </w:p>
        </w:tc>
        <w:tc>
          <w:tcPr>
            <w:tcW w:w="1794" w:type="dxa"/>
            <w:gridSpan w:val="6"/>
            <w:vAlign w:val="center"/>
          </w:tcPr>
          <w:p>
            <w:pPr>
              <w:rPr>
                <w:rFonts w:ascii="宋体" w:cs="宋体"/>
                <w:color w:val="000000"/>
                <w:sz w:val="16"/>
                <w:szCs w:val="16"/>
              </w:rPr>
            </w:pPr>
          </w:p>
        </w:tc>
        <w:tc>
          <w:tcPr>
            <w:tcW w:w="2878" w:type="dxa"/>
            <w:gridSpan w:val="8"/>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270" w:hRule="atLeast"/>
        </w:trPr>
        <w:tc>
          <w:tcPr>
            <w:tcW w:w="1647" w:type="dxa"/>
            <w:gridSpan w:val="3"/>
            <w:vAlign w:val="center"/>
          </w:tcPr>
          <w:p>
            <w:pPr>
              <w:rPr>
                <w:rFonts w:ascii="宋体" w:cs="宋体"/>
                <w:color w:val="000000"/>
                <w:sz w:val="16"/>
                <w:szCs w:val="16"/>
              </w:rPr>
            </w:pPr>
          </w:p>
        </w:tc>
        <w:tc>
          <w:tcPr>
            <w:tcW w:w="1793" w:type="dxa"/>
            <w:gridSpan w:val="7"/>
            <w:vAlign w:val="center"/>
          </w:tcPr>
          <w:p>
            <w:pPr>
              <w:rPr>
                <w:rFonts w:ascii="宋体" w:cs="宋体"/>
                <w:color w:val="000000"/>
                <w:sz w:val="16"/>
                <w:szCs w:val="16"/>
              </w:rPr>
            </w:pPr>
          </w:p>
        </w:tc>
        <w:tc>
          <w:tcPr>
            <w:tcW w:w="1620" w:type="dxa"/>
            <w:gridSpan w:val="4"/>
            <w:vAlign w:val="center"/>
          </w:tcPr>
          <w:p>
            <w:pPr>
              <w:rPr>
                <w:rFonts w:ascii="宋体" w:cs="宋体"/>
                <w:color w:val="000000"/>
                <w:sz w:val="16"/>
                <w:szCs w:val="16"/>
              </w:rPr>
            </w:pPr>
          </w:p>
        </w:tc>
        <w:tc>
          <w:tcPr>
            <w:tcW w:w="754" w:type="dxa"/>
            <w:gridSpan w:val="3"/>
            <w:vAlign w:val="center"/>
          </w:tcPr>
          <w:p>
            <w:pPr>
              <w:rPr>
                <w:rFonts w:ascii="宋体" w:cs="宋体"/>
                <w:color w:val="000000"/>
                <w:sz w:val="16"/>
                <w:szCs w:val="16"/>
              </w:rPr>
            </w:pPr>
          </w:p>
        </w:tc>
        <w:tc>
          <w:tcPr>
            <w:tcW w:w="1794" w:type="dxa"/>
            <w:gridSpan w:val="6"/>
            <w:vAlign w:val="center"/>
          </w:tcPr>
          <w:p>
            <w:pPr>
              <w:rPr>
                <w:rFonts w:ascii="宋体" w:cs="宋体"/>
                <w:color w:val="000000"/>
                <w:sz w:val="16"/>
                <w:szCs w:val="16"/>
              </w:rPr>
            </w:pPr>
          </w:p>
        </w:tc>
        <w:tc>
          <w:tcPr>
            <w:tcW w:w="2878" w:type="dxa"/>
            <w:gridSpan w:val="8"/>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5060" w:type="dxa"/>
            <w:gridSpan w:val="1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6" w:type="dxa"/>
            <w:gridSpan w:val="17"/>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6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gridSpan w:val="4"/>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rPr>
              <w:t xml:space="preserve">86.40 </w:t>
            </w: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b/>
                <w:color w:val="000000"/>
                <w:sz w:val="16"/>
                <w:szCs w:val="16"/>
              </w:rPr>
            </w:pPr>
            <w:r>
              <w:rPr>
                <w:rFonts w:hint="eastAsia" w:ascii="宋体" w:hAnsi="宋体" w:eastAsia="宋体" w:cs="宋体"/>
                <w:i w:val="0"/>
                <w:color w:val="000000"/>
                <w:kern w:val="0"/>
                <w:sz w:val="16"/>
                <w:szCs w:val="16"/>
                <w:u w:val="none"/>
                <w:lang w:val="en-US" w:eastAsia="zh-CN"/>
              </w:rPr>
              <w:t xml:space="preserve">336.22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1620" w:type="dxa"/>
            <w:gridSpan w:val="4"/>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57.60 </w:t>
            </w: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47.01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1620" w:type="dxa"/>
            <w:gridSpan w:val="4"/>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28.80 </w:t>
            </w: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110.46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6.24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14.66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r>
              <w:rPr>
                <w:rFonts w:ascii="宋体" w:hAnsi="宋体" w:cs="宋体"/>
                <w:color w:val="000000"/>
                <w:kern w:val="0"/>
                <w:sz w:val="16"/>
                <w:szCs w:val="16"/>
              </w:rPr>
              <w:t xml:space="preserve"> </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66.31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生产补贴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提租补贴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采暖补贴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4.59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物业服务补贴</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19.30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jc w:val="right"/>
              <w:rPr>
                <w:rFonts w:hint="eastAsia"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gridSpan w:val="3"/>
            <w:tcBorders>
              <w:top w:val="single" w:color="000000" w:sz="4" w:space="0"/>
              <w:left w:val="single" w:color="000000" w:sz="4" w:space="0"/>
              <w:bottom w:val="single" w:color="000000" w:sz="4" w:space="0"/>
              <w:right w:val="single" w:color="000000" w:sz="12" w:space="0"/>
            </w:tcBorders>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 xml:space="preserve">64.96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产权参股</w:t>
            </w:r>
          </w:p>
        </w:tc>
        <w:tc>
          <w:tcPr>
            <w:tcW w:w="171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300" w:hRule="atLeast"/>
        </w:trPr>
        <w:tc>
          <w:tcPr>
            <w:tcW w:w="714"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6" w:type="dxa"/>
            <w:gridSpan w:val="9"/>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4"/>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5" w:type="dxa"/>
            <w:gridSpan w:val="10"/>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1710" w:type="dxa"/>
            <w:gridSpan w:val="3"/>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477" w:hRule="atLeast"/>
        </w:trPr>
        <w:tc>
          <w:tcPr>
            <w:tcW w:w="10486" w:type="dxa"/>
            <w:gridSpan w:val="31"/>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90" w:hRule="atLeast"/>
        </w:trPr>
        <w:tc>
          <w:tcPr>
            <w:tcW w:w="10486" w:type="dxa"/>
            <w:gridSpan w:val="31"/>
            <w:vAlign w:val="center"/>
          </w:tcPr>
          <w:p>
            <w:pPr>
              <w:widowControl/>
              <w:jc w:val="lef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375" w:hRule="atLeast"/>
        </w:trPr>
        <w:tc>
          <w:tcPr>
            <w:tcW w:w="10480" w:type="dxa"/>
            <w:gridSpan w:val="31"/>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285" w:hRule="atLeast"/>
        </w:trPr>
        <w:tc>
          <w:tcPr>
            <w:tcW w:w="1778" w:type="dxa"/>
            <w:gridSpan w:val="5"/>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3"/>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3"/>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4"/>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3"/>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4"/>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270" w:hRule="atLeast"/>
        </w:trPr>
        <w:tc>
          <w:tcPr>
            <w:tcW w:w="1778" w:type="dxa"/>
            <w:gridSpan w:val="5"/>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3"/>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3"/>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4"/>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3"/>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4"/>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300" w:hRule="atLeast"/>
        </w:trPr>
        <w:tc>
          <w:tcPr>
            <w:tcW w:w="5305" w:type="dxa"/>
            <w:gridSpan w:val="16"/>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hint="eastAsia" w:ascii="宋体" w:hAnsi="宋体" w:cs="宋体"/>
                <w:b/>
                <w:color w:val="000000"/>
                <w:kern w:val="0"/>
                <w:sz w:val="16"/>
                <w:szCs w:val="16"/>
                <w:lang w:val="en-US" w:eastAsia="zh-CN"/>
              </w:rPr>
              <w:t>7</w:t>
            </w:r>
            <w:r>
              <w:rPr>
                <w:rFonts w:hint="eastAsia" w:ascii="宋体" w:hAnsi="宋体" w:cs="宋体"/>
                <w:b/>
                <w:color w:val="000000"/>
                <w:kern w:val="0"/>
                <w:sz w:val="16"/>
                <w:szCs w:val="16"/>
              </w:rPr>
              <w:t>年度预算数</w:t>
            </w:r>
          </w:p>
        </w:tc>
        <w:tc>
          <w:tcPr>
            <w:tcW w:w="5175" w:type="dxa"/>
            <w:gridSpan w:val="1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hint="eastAsia" w:ascii="宋体" w:hAnsi="宋体" w:cs="宋体"/>
                <w:b/>
                <w:color w:val="000000"/>
                <w:kern w:val="0"/>
                <w:sz w:val="16"/>
                <w:szCs w:val="16"/>
                <w:lang w:val="en-US" w:eastAsia="zh-CN"/>
              </w:rPr>
              <w:t>7</w:t>
            </w:r>
            <w:r>
              <w:rPr>
                <w:rFonts w:hint="eastAsia" w:ascii="宋体" w:hAnsi="宋体" w:cs="宋体"/>
                <w:b/>
                <w:color w:val="000000"/>
                <w:kern w:val="0"/>
                <w:sz w:val="16"/>
                <w:szCs w:val="16"/>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600" w:hRule="atLeast"/>
        </w:trPr>
        <w:tc>
          <w:tcPr>
            <w:tcW w:w="919" w:type="dxa"/>
            <w:gridSpan w:val="3"/>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600" w:hRule="atLeast"/>
        </w:trPr>
        <w:tc>
          <w:tcPr>
            <w:tcW w:w="919" w:type="dxa"/>
            <w:gridSpan w:val="3"/>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购置费</w:t>
            </w:r>
          </w:p>
        </w:tc>
        <w:tc>
          <w:tcPr>
            <w:tcW w:w="10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运行费</w:t>
            </w:r>
          </w:p>
        </w:tc>
        <w:tc>
          <w:tcPr>
            <w:tcW w:w="9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购置费</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300" w:hRule="atLeast"/>
        </w:trPr>
        <w:tc>
          <w:tcPr>
            <w:tcW w:w="919"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600" w:hRule="atLeast"/>
        </w:trPr>
        <w:tc>
          <w:tcPr>
            <w:tcW w:w="919" w:type="dxa"/>
            <w:gridSpan w:val="3"/>
            <w:tcBorders>
              <w:top w:val="single" w:color="000000" w:sz="4" w:space="0"/>
              <w:left w:val="single" w:color="000000" w:sz="12" w:space="0"/>
              <w:bottom w:val="single" w:color="000000" w:sz="12" w:space="0"/>
              <w:right w:val="single" w:color="000000" w:sz="4" w:space="0"/>
            </w:tcBorders>
            <w:vAlign w:val="center"/>
          </w:tcPr>
          <w:p>
            <w:pPr>
              <w:jc w:val="right"/>
              <w:rPr>
                <w:rFonts w:hint="eastAsia" w:ascii="宋体" w:eastAsia="宋体" w:cs="宋体"/>
                <w:b/>
                <w:color w:val="000000"/>
                <w:sz w:val="16"/>
                <w:szCs w:val="16"/>
                <w:lang w:val="en-US" w:eastAsia="zh-CN"/>
              </w:rPr>
            </w:pPr>
            <w:r>
              <w:rPr>
                <w:rFonts w:hint="eastAsia" w:ascii="宋体" w:hAnsi="宋体" w:cs="宋体"/>
                <w:b/>
                <w:color w:val="000000"/>
                <w:sz w:val="16"/>
                <w:szCs w:val="16"/>
                <w:lang w:val="en-US" w:eastAsia="zh-CN"/>
              </w:rPr>
              <w:t>4.96</w:t>
            </w:r>
          </w:p>
        </w:tc>
        <w:tc>
          <w:tcPr>
            <w:tcW w:w="921"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4.59</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00"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4.59</w:t>
            </w:r>
          </w:p>
        </w:tc>
        <w:tc>
          <w:tcPr>
            <w:tcW w:w="915"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0.37</w:t>
            </w:r>
          </w:p>
        </w:tc>
        <w:tc>
          <w:tcPr>
            <w:tcW w:w="922" w:type="dxa"/>
            <w:gridSpan w:val="4"/>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4.96</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4.59</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ascii="宋体" w:hAnsi="宋体" w:cs="宋体"/>
                <w:color w:val="000000"/>
                <w:sz w:val="16"/>
                <w:szCs w:val="16"/>
              </w:rPr>
              <w:t>4.</w:t>
            </w:r>
            <w:r>
              <w:rPr>
                <w:rFonts w:hint="eastAsia" w:ascii="宋体" w:hAnsi="宋体" w:cs="宋体"/>
                <w:color w:val="000000"/>
                <w:sz w:val="16"/>
                <w:szCs w:val="16"/>
                <w:lang w:val="en-US" w:eastAsia="zh-CN"/>
              </w:rPr>
              <w:t>59</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hint="eastAsia" w:ascii="宋体" w:cs="宋体"/>
                <w:color w:val="000000"/>
                <w:sz w:val="16"/>
                <w:szCs w:val="16"/>
                <w:lang w:val="en-US" w:eastAsia="zh-CN"/>
              </w:rPr>
            </w:pPr>
            <w:r>
              <w:rPr>
                <w:rFonts w:hint="eastAsia" w:ascii="宋体" w:cs="宋体"/>
                <w:color w:val="000000"/>
                <w:sz w:val="16"/>
                <w:szCs w:val="16"/>
                <w:lang w:val="en-US" w:eastAsia="zh-CN"/>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1" w:type="dxa"/>
          <w:trHeight w:val="600" w:hRule="atLeast"/>
        </w:trPr>
        <w:tc>
          <w:tcPr>
            <w:tcW w:w="10480" w:type="dxa"/>
            <w:gridSpan w:val="31"/>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sectPr>
          <w:pgSz w:w="11906" w:h="16838"/>
          <w:pgMar w:top="1440" w:right="1531" w:bottom="1440" w:left="1587" w:header="850" w:footer="992" w:gutter="0"/>
          <w:pgNumType w:fmt="numberInDash"/>
          <w:cols w:space="720" w:num="1"/>
          <w:docGrid w:type="lines" w:linePitch="317" w:charSpace="0"/>
        </w:sectPr>
      </w:pPr>
    </w:p>
    <w:tbl>
      <w:tblPr>
        <w:tblStyle w:val="5"/>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olor w:val="000000"/>
                <w:sz w:val="28"/>
                <w:szCs w:val="28"/>
              </w:rPr>
            </w:pPr>
            <w:r>
              <w:rPr>
                <w:rFonts w:hint="eastAsia" w:ascii="黑体" w:hAnsi="宋体" w:eastAsia="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cs="宋体"/>
                <w:b/>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r>
              <w:rPr>
                <w:rFonts w:hint="eastAsia" w:ascii="宋体" w:hAnsi="宋体" w:cs="宋体"/>
                <w:b/>
                <w:color w:val="FF0000"/>
                <w:kern w:val="0"/>
                <w:sz w:val="20"/>
                <w:szCs w:val="20"/>
              </w:rPr>
              <w:t>（该报表全部数据为零时）说明：政法委没有政府性基金收入，也没有使用政府性基金安排的支出，故本表无数据。</w:t>
            </w:r>
          </w:p>
        </w:tc>
      </w:tr>
    </w:tbl>
    <w:p>
      <w:pPr>
        <w:spacing w:line="360" w:lineRule="auto"/>
        <w:jc w:val="center"/>
        <w:sectPr>
          <w:pgSz w:w="11906" w:h="16838"/>
          <w:pgMar w:top="1440" w:right="1531" w:bottom="1440" w:left="1587" w:header="850" w:footer="992" w:gutter="0"/>
          <w:pgNumType w:fmt="numberInDash"/>
          <w:cols w:space="720" w:num="1"/>
          <w:docGrid w:type="lines" w:linePitch="317" w:charSpace="0"/>
        </w:sect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spacing w:beforeLines="0" w:afterLines="0"/>
        <w:jc w:val="center"/>
        <w:rPr>
          <w:rFonts w:hint="default" w:ascii="Times New Roman" w:hAnsi="Times New Roman" w:eastAsia="Times New Roman"/>
          <w:sz w:val="48"/>
        </w:rPr>
      </w:pPr>
      <w:r>
        <w:rPr>
          <w:rFonts w:hint="eastAsia" w:ascii="黑体" w:hAnsi="黑体" w:eastAsia="黑体"/>
          <w:sz w:val="48"/>
        </w:rPr>
        <w:t>第三部分</w:t>
      </w:r>
    </w:p>
    <w:p>
      <w:pPr>
        <w:spacing w:beforeLines="0" w:afterLines="0"/>
        <w:jc w:val="center"/>
        <w:rPr>
          <w:rFonts w:hint="default" w:ascii="Times New Roman" w:hAnsi="Times New Roman" w:eastAsia="Times New Roman"/>
          <w:sz w:val="48"/>
        </w:rPr>
      </w:pPr>
      <w:r>
        <w:rPr>
          <w:rFonts w:hint="eastAsia" w:ascii="黑体" w:hAnsi="黑体" w:eastAsia="黑体"/>
          <w:sz w:val="48"/>
        </w:rPr>
        <w:t>2017年度部门决算情况说明</w:t>
      </w: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黑体" w:hAnsi="黑体" w:eastAsia="黑体"/>
          <w:sz w:val="32"/>
        </w:rPr>
      </w:pPr>
    </w:p>
    <w:p>
      <w:pPr>
        <w:spacing w:beforeLines="0" w:afterLines="0"/>
        <w:ind w:firstLine="640"/>
        <w:jc w:val="left"/>
        <w:rPr>
          <w:rFonts w:hint="eastAsia" w:ascii="仿宋" w:hAnsi="仿宋" w:eastAsia="仿宋"/>
          <w:sz w:val="32"/>
        </w:rPr>
      </w:pPr>
      <w:r>
        <w:rPr>
          <w:rFonts w:hint="eastAsia" w:ascii="黑体" w:hAnsi="黑体" w:eastAsia="黑体"/>
          <w:sz w:val="32"/>
        </w:rPr>
        <w:t>一、收入支出决算总体情况说明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2017年度收、支总计均为422.62万元。与2016年相比，收、支总计</w:t>
      </w:r>
      <w:r>
        <w:rPr>
          <w:rFonts w:hint="eastAsia" w:ascii="仿宋" w:hAnsi="仿宋" w:eastAsia="仿宋"/>
          <w:sz w:val="32"/>
          <w:lang w:eastAsia="zh-CN"/>
        </w:rPr>
        <w:t>增加</w:t>
      </w:r>
      <w:r>
        <w:rPr>
          <w:rFonts w:hint="eastAsia" w:ascii="仿宋" w:hAnsi="仿宋" w:eastAsia="仿宋"/>
          <w:sz w:val="32"/>
          <w:lang w:val="en-US" w:eastAsia="zh-CN"/>
        </w:rPr>
        <w:t>226.83</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115</w:t>
      </w:r>
      <w:r>
        <w:rPr>
          <w:rFonts w:hint="eastAsia" w:ascii="仿宋" w:hAnsi="仿宋" w:eastAsia="仿宋"/>
          <w:sz w:val="32"/>
        </w:rPr>
        <w:t>%。主要原因是</w:t>
      </w:r>
      <w:r>
        <w:rPr>
          <w:rFonts w:hint="eastAsia" w:ascii="仿宋" w:hAnsi="仿宋" w:eastAsia="仿宋"/>
          <w:sz w:val="32"/>
          <w:lang w:eastAsia="zh-CN"/>
        </w:rPr>
        <w:t>综治工作和治安防控体系建设加大投入</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二、收入决算情况说明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2017年度收入合计422.62万元，其中：财政拨款收入422.62万元，占</w:t>
      </w:r>
      <w:r>
        <w:rPr>
          <w:rFonts w:hint="eastAsia" w:ascii="仿宋" w:hAnsi="仿宋" w:eastAsia="仿宋"/>
          <w:sz w:val="32"/>
          <w:lang w:val="en-US" w:eastAsia="zh-CN"/>
        </w:rPr>
        <w:t>100</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三、支出决算情况说明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2017年度支出合计422.62万元，其中：基本支出422.62万元。</w:t>
      </w:r>
    </w:p>
    <w:p>
      <w:pPr>
        <w:spacing w:beforeLines="0" w:afterLines="0"/>
        <w:ind w:firstLine="640"/>
        <w:jc w:val="left"/>
        <w:rPr>
          <w:rFonts w:hint="eastAsia" w:ascii="仿宋" w:hAnsi="仿宋" w:eastAsia="仿宋"/>
          <w:sz w:val="32"/>
        </w:rPr>
      </w:pPr>
      <w:r>
        <w:rPr>
          <w:rFonts w:hint="eastAsia" w:ascii="黑体" w:hAnsi="黑体" w:eastAsia="黑体"/>
          <w:sz w:val="32"/>
        </w:rPr>
        <w:t>四、财政拨款收入支出决算总体情况说明</w:t>
      </w:r>
    </w:p>
    <w:p>
      <w:pPr>
        <w:spacing w:beforeLines="0" w:afterLines="0"/>
        <w:ind w:firstLine="640"/>
        <w:jc w:val="left"/>
        <w:rPr>
          <w:rFonts w:hint="eastAsia" w:ascii="仿宋" w:hAnsi="仿宋" w:eastAsia="仿宋"/>
          <w:sz w:val="32"/>
        </w:rPr>
      </w:pPr>
      <w:r>
        <w:rPr>
          <w:rFonts w:hint="eastAsia" w:ascii="仿宋" w:hAnsi="仿宋" w:eastAsia="仿宋"/>
          <w:sz w:val="32"/>
        </w:rPr>
        <w:t>2017年财政拨款收、支总计均为422.62万元。与2016年相比，财政拨款收、支总计</w:t>
      </w:r>
      <w:r>
        <w:rPr>
          <w:rFonts w:hint="eastAsia" w:ascii="仿宋" w:hAnsi="仿宋" w:eastAsia="仿宋"/>
          <w:sz w:val="32"/>
          <w:lang w:eastAsia="zh-CN"/>
        </w:rPr>
        <w:t>增加</w:t>
      </w:r>
      <w:r>
        <w:rPr>
          <w:rFonts w:hint="eastAsia" w:ascii="仿宋" w:hAnsi="仿宋" w:eastAsia="仿宋"/>
          <w:sz w:val="32"/>
          <w:lang w:val="en-US" w:eastAsia="zh-CN"/>
        </w:rPr>
        <w:t>226.83</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115</w:t>
      </w:r>
      <w:r>
        <w:rPr>
          <w:rFonts w:hint="eastAsia" w:ascii="仿宋" w:hAnsi="仿宋" w:eastAsia="仿宋"/>
          <w:sz w:val="32"/>
        </w:rPr>
        <w:t>%。主要原因是</w:t>
      </w:r>
      <w:r>
        <w:rPr>
          <w:rFonts w:hint="eastAsia" w:ascii="仿宋" w:hAnsi="仿宋" w:eastAsia="仿宋"/>
          <w:sz w:val="32"/>
          <w:lang w:eastAsia="zh-CN"/>
        </w:rPr>
        <w:t>综治工作和治安防控体系建设加大投入</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五、一般公共预算财政拨款支出决算情况说明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（一）总体情况。</w:t>
      </w:r>
    </w:p>
    <w:p>
      <w:pPr>
        <w:spacing w:beforeLines="0" w:afterLines="0"/>
        <w:ind w:firstLine="640"/>
        <w:jc w:val="left"/>
        <w:rPr>
          <w:rFonts w:hint="eastAsia" w:ascii="仿宋" w:hAnsi="仿宋" w:eastAsia="仿宋"/>
          <w:sz w:val="32"/>
        </w:rPr>
      </w:pPr>
      <w:r>
        <w:rPr>
          <w:rFonts w:hint="eastAsia" w:ascii="仿宋" w:hAnsi="仿宋" w:eastAsia="仿宋"/>
          <w:sz w:val="32"/>
        </w:rPr>
        <w:t>2017年一般公共预算财政拨款支出422.62万元，占支出合计的</w:t>
      </w:r>
      <w:r>
        <w:rPr>
          <w:rFonts w:hint="eastAsia" w:ascii="仿宋" w:hAnsi="仿宋" w:eastAsia="仿宋"/>
          <w:sz w:val="32"/>
          <w:lang w:val="en-US" w:eastAsia="zh-CN"/>
        </w:rPr>
        <w:t>100</w:t>
      </w:r>
      <w:r>
        <w:rPr>
          <w:rFonts w:hint="eastAsia" w:ascii="仿宋" w:hAnsi="仿宋" w:eastAsia="仿宋"/>
          <w:sz w:val="32"/>
        </w:rPr>
        <w:t>%。与2016年相比，一般公共预算财政拨款支出</w:t>
      </w:r>
      <w:r>
        <w:rPr>
          <w:rFonts w:hint="eastAsia" w:ascii="仿宋" w:hAnsi="仿宋" w:eastAsia="仿宋"/>
          <w:sz w:val="32"/>
          <w:lang w:eastAsia="zh-CN"/>
        </w:rPr>
        <w:t>增加</w:t>
      </w:r>
      <w:r>
        <w:rPr>
          <w:rFonts w:hint="eastAsia" w:ascii="仿宋" w:hAnsi="仿宋" w:eastAsia="仿宋"/>
          <w:sz w:val="32"/>
          <w:lang w:val="en-US" w:eastAsia="zh-CN"/>
        </w:rPr>
        <w:t>226.83</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115</w:t>
      </w:r>
      <w:r>
        <w:rPr>
          <w:rFonts w:hint="eastAsia" w:ascii="仿宋" w:hAnsi="仿宋" w:eastAsia="仿宋"/>
          <w:sz w:val="32"/>
        </w:rPr>
        <w:t>%。变动的主要原因是</w:t>
      </w:r>
      <w:r>
        <w:rPr>
          <w:rFonts w:hint="eastAsia" w:ascii="仿宋" w:hAnsi="仿宋" w:eastAsia="仿宋"/>
          <w:sz w:val="32"/>
          <w:lang w:eastAsia="zh-CN"/>
        </w:rPr>
        <w:t>综治工作和治安防控体系建设加大投入</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楷体" w:hAnsi="楷体" w:eastAsia="楷体"/>
          <w:sz w:val="32"/>
        </w:rPr>
        <w:t>（二）结构情况。</w:t>
      </w:r>
    </w:p>
    <w:p>
      <w:pPr>
        <w:spacing w:beforeLines="0" w:afterLines="0"/>
        <w:ind w:firstLine="640"/>
        <w:jc w:val="left"/>
        <w:rPr>
          <w:rFonts w:hint="eastAsia" w:ascii="仿宋" w:hAnsi="仿宋" w:eastAsia="仿宋"/>
          <w:sz w:val="32"/>
        </w:rPr>
      </w:pPr>
      <w:r>
        <w:rPr>
          <w:rFonts w:hint="eastAsia" w:ascii="仿宋" w:hAnsi="仿宋" w:eastAsia="仿宋"/>
          <w:sz w:val="32"/>
        </w:rPr>
        <w:t>2017年度一般公共预算财政拨款支出422.62万元，主要用于以下方面：一般公共服务（类）支出422.62万元，占</w:t>
      </w:r>
      <w:r>
        <w:rPr>
          <w:rFonts w:hint="eastAsia" w:ascii="仿宋" w:hAnsi="仿宋" w:eastAsia="仿宋"/>
          <w:sz w:val="32"/>
          <w:lang w:val="en-US" w:eastAsia="zh-CN"/>
        </w:rPr>
        <w:t>100</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楷体" w:hAnsi="楷体" w:eastAsia="楷体"/>
          <w:sz w:val="32"/>
        </w:rPr>
        <w:t>（三）具体情况。</w:t>
      </w:r>
    </w:p>
    <w:p>
      <w:pPr>
        <w:spacing w:beforeLines="0" w:afterLines="0"/>
        <w:ind w:firstLine="640"/>
        <w:rPr>
          <w:rFonts w:hint="eastAsia" w:ascii="仿宋" w:hAnsi="仿宋" w:eastAsia="仿宋"/>
          <w:sz w:val="32"/>
        </w:rPr>
      </w:pPr>
      <w:r>
        <w:rPr>
          <w:rFonts w:hint="eastAsia" w:ascii="仿宋" w:hAnsi="仿宋" w:eastAsia="仿宋"/>
          <w:sz w:val="32"/>
        </w:rPr>
        <w:t>2017年度一般公共预算财政拨款支出年初预算为422.62万元，支出决算为422.62万元，完成年初预算的</w:t>
      </w:r>
      <w:r>
        <w:rPr>
          <w:rFonts w:hint="eastAsia" w:ascii="仿宋" w:hAnsi="仿宋" w:eastAsia="仿宋"/>
          <w:sz w:val="32"/>
          <w:lang w:val="en-US" w:eastAsia="zh-CN"/>
        </w:rPr>
        <w:t>100</w:t>
      </w:r>
      <w:r>
        <w:rPr>
          <w:rFonts w:hint="eastAsia" w:ascii="仿宋" w:hAnsi="仿宋" w:eastAsia="仿宋"/>
          <w:sz w:val="32"/>
        </w:rPr>
        <w:t>%。</w:t>
      </w:r>
    </w:p>
    <w:p>
      <w:pPr>
        <w:numPr>
          <w:ilvl w:val="0"/>
          <w:numId w:val="4"/>
        </w:numPr>
        <w:spacing w:beforeLines="0" w:afterLines="0"/>
        <w:ind w:firstLine="640"/>
        <w:rPr>
          <w:rFonts w:hint="eastAsia" w:ascii="仿宋" w:hAnsi="仿宋" w:eastAsia="仿宋"/>
          <w:sz w:val="32"/>
        </w:rPr>
      </w:pPr>
      <w:r>
        <w:rPr>
          <w:rFonts w:hint="eastAsia" w:ascii="仿宋" w:hAnsi="仿宋" w:eastAsia="仿宋"/>
          <w:sz w:val="32"/>
        </w:rPr>
        <w:t>一般公共服务（类）</w:t>
      </w:r>
      <w:r>
        <w:rPr>
          <w:rFonts w:hint="eastAsia" w:ascii="仿宋" w:hAnsi="仿宋" w:eastAsia="仿宋"/>
          <w:sz w:val="32"/>
          <w:lang w:eastAsia="zh-CN"/>
        </w:rPr>
        <w:t>党委办公厅（室）及相关机构事务</w:t>
      </w:r>
      <w:r>
        <w:rPr>
          <w:rFonts w:hint="eastAsia" w:ascii="仿宋" w:hAnsi="仿宋" w:eastAsia="仿宋"/>
          <w:sz w:val="32"/>
        </w:rPr>
        <w:t>（款）行政运行（项）。年初预算为</w:t>
      </w:r>
      <w:r>
        <w:rPr>
          <w:rFonts w:hint="eastAsia" w:ascii="仿宋" w:hAnsi="仿宋" w:eastAsia="仿宋"/>
          <w:sz w:val="32"/>
          <w:lang w:val="en-US" w:eastAsia="zh-CN"/>
        </w:rPr>
        <w:t>422.62</w:t>
      </w:r>
      <w:r>
        <w:rPr>
          <w:rFonts w:hint="eastAsia" w:ascii="仿宋" w:hAnsi="仿宋" w:eastAsia="仿宋"/>
          <w:sz w:val="32"/>
        </w:rPr>
        <w:t>元，支出决算为</w:t>
      </w:r>
      <w:r>
        <w:rPr>
          <w:rFonts w:hint="eastAsia" w:ascii="仿宋" w:hAnsi="仿宋" w:eastAsia="仿宋"/>
          <w:sz w:val="32"/>
          <w:lang w:val="en-US" w:eastAsia="zh-CN"/>
        </w:rPr>
        <w:t>422.62</w:t>
      </w:r>
      <w:r>
        <w:rPr>
          <w:rFonts w:hint="eastAsia" w:ascii="仿宋" w:hAnsi="仿宋" w:eastAsia="仿宋"/>
          <w:sz w:val="32"/>
        </w:rPr>
        <w:t>万元，完成年初预算的</w:t>
      </w:r>
      <w:r>
        <w:rPr>
          <w:rFonts w:hint="eastAsia" w:ascii="仿宋" w:hAnsi="仿宋" w:eastAsia="仿宋"/>
          <w:sz w:val="32"/>
          <w:lang w:val="en-US" w:eastAsia="zh-CN"/>
        </w:rPr>
        <w:t>100</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六、一般公共预算财政拨款基本支出决算情况说明</w:t>
      </w:r>
    </w:p>
    <w:p>
      <w:pPr>
        <w:spacing w:beforeLines="0" w:afterLines="0"/>
        <w:ind w:firstLine="640"/>
        <w:jc w:val="left"/>
        <w:rPr>
          <w:rFonts w:hint="eastAsia" w:ascii="仿宋" w:hAnsi="仿宋" w:eastAsia="仿宋"/>
          <w:sz w:val="32"/>
        </w:rPr>
      </w:pPr>
      <w:r>
        <w:rPr>
          <w:rFonts w:hint="eastAsia" w:ascii="仿宋" w:hAnsi="仿宋" w:eastAsia="仿宋"/>
          <w:sz w:val="32"/>
        </w:rPr>
        <w:t>2017年一般公共预算财政拨款基本支出422.62万元。与2016年相比</w:t>
      </w:r>
      <w:r>
        <w:rPr>
          <w:rFonts w:hint="eastAsia" w:ascii="仿宋" w:hAnsi="仿宋" w:eastAsia="仿宋"/>
          <w:sz w:val="32"/>
          <w:lang w:eastAsia="zh-CN"/>
        </w:rPr>
        <w:t>增加</w:t>
      </w:r>
      <w:r>
        <w:rPr>
          <w:rFonts w:hint="eastAsia" w:ascii="仿宋" w:hAnsi="仿宋" w:eastAsia="仿宋"/>
          <w:sz w:val="32"/>
          <w:lang w:val="en-US" w:eastAsia="zh-CN"/>
        </w:rPr>
        <w:t>226.83</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115</w:t>
      </w:r>
      <w:r>
        <w:rPr>
          <w:rFonts w:hint="eastAsia" w:ascii="仿宋" w:hAnsi="仿宋" w:eastAsia="仿宋"/>
          <w:sz w:val="32"/>
        </w:rPr>
        <w:t>%。变动的主要原因是</w:t>
      </w:r>
      <w:r>
        <w:rPr>
          <w:rFonts w:hint="eastAsia" w:ascii="仿宋" w:hAnsi="仿宋" w:eastAsia="仿宋"/>
          <w:sz w:val="32"/>
          <w:lang w:eastAsia="zh-CN"/>
        </w:rPr>
        <w:t>综治工作和治安防控体系建设加大投入</w:t>
      </w:r>
      <w:r>
        <w:rPr>
          <w:rFonts w:hint="eastAsia" w:ascii="仿宋" w:hAnsi="仿宋" w:eastAsia="仿宋"/>
          <w:sz w:val="32"/>
        </w:rPr>
        <w:t>。其中：人员经费86.4万元，主要包括：基本工资、津贴补贴、绩效工资；公用经费336.22万元，主要包括：办公费</w:t>
      </w:r>
      <w:r>
        <w:rPr>
          <w:rFonts w:hint="eastAsia" w:ascii="仿宋" w:hAnsi="仿宋" w:eastAsia="仿宋"/>
          <w:sz w:val="32"/>
          <w:lang w:eastAsia="zh-CN"/>
        </w:rPr>
        <w:t>、印刷费、手续费、水费、电费、邮电费、差旅费、维护费、培训费、公务接待费、公务用车运行维护费、其他交通费、其他商品服务支出</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七、一般公共预算财政拨款</w:t>
      </w:r>
      <w:r>
        <w:rPr>
          <w:rFonts w:hint="default" w:ascii="黑体" w:hAnsi="黑体" w:eastAsia="黑体"/>
          <w:sz w:val="32"/>
        </w:rPr>
        <w:t>“</w:t>
      </w:r>
      <w:r>
        <w:rPr>
          <w:rFonts w:hint="eastAsia" w:ascii="黑体" w:hAnsi="黑体" w:eastAsia="黑体"/>
          <w:sz w:val="32"/>
        </w:rPr>
        <w:t>三公</w:t>
      </w:r>
      <w:r>
        <w:rPr>
          <w:rFonts w:hint="default" w:ascii="黑体" w:hAnsi="黑体" w:eastAsia="黑体"/>
          <w:sz w:val="32"/>
        </w:rPr>
        <w:t>”</w:t>
      </w:r>
      <w:r>
        <w:rPr>
          <w:rFonts w:hint="eastAsia" w:ascii="黑体" w:hAnsi="黑体" w:eastAsia="黑体"/>
          <w:sz w:val="32"/>
        </w:rPr>
        <w:t>经费支出决算情况说明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经费财政拨款支出决算总体情况说明。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经费财政拨款支出预算为4.96万元，支出决算为4.96万元，完成预算的</w:t>
      </w:r>
      <w:r>
        <w:rPr>
          <w:rFonts w:hint="eastAsia" w:ascii="仿宋" w:hAnsi="仿宋" w:eastAsia="仿宋"/>
          <w:sz w:val="32"/>
          <w:lang w:val="en-US" w:eastAsia="zh-CN"/>
        </w:rPr>
        <w:t>100</w:t>
      </w:r>
      <w:r>
        <w:rPr>
          <w:rFonts w:hint="eastAsia" w:ascii="仿宋" w:hAnsi="仿宋" w:eastAsia="仿宋"/>
          <w:sz w:val="32"/>
        </w:rPr>
        <w:t>%。</w:t>
      </w:r>
    </w:p>
    <w:p>
      <w:pPr>
        <w:spacing w:beforeLines="0" w:afterLines="0"/>
        <w:ind w:firstLine="640"/>
        <w:rPr>
          <w:rFonts w:hint="eastAsia" w:ascii="仿宋" w:hAnsi="仿宋" w:eastAsia="仿宋"/>
          <w:sz w:val="32"/>
        </w:rPr>
      </w:pPr>
      <w:r>
        <w:rPr>
          <w:rFonts w:hint="eastAsia" w:ascii="楷体" w:hAnsi="楷体" w:eastAsia="楷体"/>
          <w:sz w:val="32"/>
        </w:rPr>
        <w:t>（二）</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经费财政拨款支出决算具体情况说明。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经费财政拨款支出决算中，因公出国（境）费支出决算0万元，占0%，完成预算的0%；公务用车购置及运行费支出决算4.59万元，占</w:t>
      </w:r>
      <w:r>
        <w:rPr>
          <w:rFonts w:hint="eastAsia" w:ascii="仿宋" w:hAnsi="仿宋" w:eastAsia="仿宋"/>
          <w:sz w:val="32"/>
          <w:lang w:val="en-US" w:eastAsia="zh-CN"/>
        </w:rPr>
        <w:t>100</w:t>
      </w:r>
      <w:r>
        <w:rPr>
          <w:rFonts w:hint="eastAsia" w:ascii="仿宋" w:hAnsi="仿宋" w:eastAsia="仿宋"/>
          <w:sz w:val="32"/>
        </w:rPr>
        <w:t>%，完成预算的</w:t>
      </w:r>
      <w:r>
        <w:rPr>
          <w:rFonts w:hint="eastAsia" w:ascii="仿宋" w:hAnsi="仿宋" w:eastAsia="仿宋"/>
          <w:sz w:val="32"/>
          <w:lang w:val="en-US" w:eastAsia="zh-CN"/>
        </w:rPr>
        <w:t>100</w:t>
      </w:r>
      <w:r>
        <w:rPr>
          <w:rFonts w:hint="eastAsia" w:ascii="仿宋" w:hAnsi="仿宋" w:eastAsia="仿宋"/>
          <w:sz w:val="32"/>
        </w:rPr>
        <w:t>%；公务接待费支出决算0.37万元，占</w:t>
      </w:r>
      <w:r>
        <w:rPr>
          <w:rFonts w:hint="eastAsia" w:ascii="仿宋" w:hAnsi="仿宋" w:eastAsia="仿宋"/>
          <w:sz w:val="32"/>
          <w:lang w:val="en-US" w:eastAsia="zh-CN"/>
        </w:rPr>
        <w:t>100</w:t>
      </w:r>
      <w:r>
        <w:rPr>
          <w:rFonts w:hint="eastAsia" w:ascii="仿宋" w:hAnsi="仿宋" w:eastAsia="仿宋"/>
          <w:sz w:val="32"/>
        </w:rPr>
        <w:t>%，完成预算的</w:t>
      </w:r>
      <w:r>
        <w:rPr>
          <w:rFonts w:hint="eastAsia" w:ascii="仿宋" w:hAnsi="仿宋" w:eastAsia="仿宋"/>
          <w:sz w:val="32"/>
          <w:lang w:val="en-US" w:eastAsia="zh-CN"/>
        </w:rPr>
        <w:t>100</w:t>
      </w:r>
      <w:r>
        <w:rPr>
          <w:rFonts w:hint="eastAsia" w:ascii="仿宋" w:hAnsi="仿宋" w:eastAsia="仿宋"/>
          <w:sz w:val="32"/>
        </w:rPr>
        <w:t>%。具体情况如下：</w:t>
      </w:r>
    </w:p>
    <w:p>
      <w:pPr>
        <w:spacing w:beforeLines="0" w:afterLines="0"/>
        <w:ind w:firstLine="640"/>
        <w:jc w:val="left"/>
        <w:rPr>
          <w:rFonts w:hint="eastAsia" w:ascii="仿宋" w:hAnsi="仿宋" w:eastAsia="仿宋"/>
          <w:sz w:val="32"/>
        </w:rPr>
      </w:pPr>
      <w:r>
        <w:rPr>
          <w:rFonts w:hint="eastAsia" w:ascii="仿宋" w:hAnsi="仿宋" w:eastAsia="仿宋"/>
          <w:sz w:val="32"/>
        </w:rPr>
        <w:t>1．因公出国（境）费支出0万元。全年安排河南省濮阳市台前县政法委员会机关单位因公出国（境）团组0个，累计0人次。</w:t>
      </w:r>
    </w:p>
    <w:p>
      <w:pPr>
        <w:spacing w:beforeLines="0" w:afterLines="0"/>
        <w:ind w:firstLine="640"/>
        <w:jc w:val="left"/>
        <w:rPr>
          <w:rFonts w:hint="eastAsia" w:ascii="仿宋" w:hAnsi="仿宋" w:eastAsia="仿宋"/>
          <w:sz w:val="32"/>
        </w:rPr>
      </w:pPr>
      <w:r>
        <w:rPr>
          <w:rFonts w:hint="eastAsia" w:ascii="仿宋" w:hAnsi="仿宋" w:eastAsia="仿宋"/>
          <w:sz w:val="32"/>
        </w:rPr>
        <w:t>2．公务用车购置及运行费支出4.59万元。其中：</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公务用车购置支出为0万元，购置车辆</w:t>
      </w:r>
      <w:r>
        <w:rPr>
          <w:rFonts w:hint="eastAsia" w:ascii="仿宋" w:hAnsi="仿宋" w:eastAsia="仿宋"/>
          <w:sz w:val="32"/>
          <w:lang w:val="en-US" w:eastAsia="zh-CN"/>
        </w:rPr>
        <w:t>0</w:t>
      </w:r>
      <w:r>
        <w:rPr>
          <w:rFonts w:hint="eastAsia" w:ascii="仿宋" w:hAnsi="仿宋" w:eastAsia="仿宋"/>
          <w:sz w:val="32"/>
        </w:rPr>
        <w:t>台。</w:t>
      </w:r>
    </w:p>
    <w:p>
      <w:pPr>
        <w:spacing w:beforeLines="0" w:afterLines="0"/>
        <w:ind w:firstLine="640"/>
        <w:jc w:val="left"/>
        <w:rPr>
          <w:rFonts w:hint="eastAsia" w:ascii="仿宋" w:hAnsi="仿宋" w:eastAsia="仿宋"/>
          <w:sz w:val="32"/>
        </w:rPr>
      </w:pPr>
      <w:r>
        <w:rPr>
          <w:rFonts w:hint="eastAsia" w:ascii="仿宋" w:hAnsi="仿宋" w:eastAsia="仿宋"/>
          <w:sz w:val="32"/>
        </w:rPr>
        <w:t>公务用车运行支出4.59万元。主要用于</w:t>
      </w:r>
      <w:r>
        <w:rPr>
          <w:rFonts w:hint="eastAsia" w:ascii="仿宋_GB2312" w:hAnsi="宋体" w:eastAsia="仿宋_GB2312" w:cs="Courier New"/>
          <w:sz w:val="32"/>
          <w:szCs w:val="32"/>
        </w:rPr>
        <w:t>车辆运行及维修</w:t>
      </w:r>
      <w:r>
        <w:rPr>
          <w:rFonts w:hint="eastAsia" w:ascii="仿宋" w:hAnsi="仿宋" w:eastAsia="仿宋"/>
          <w:sz w:val="32"/>
        </w:rPr>
        <w:t>。2017年期末，部门财政拨款公务用车保有量为1辆。</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公务用车购置运行费支出决算比2016年度0万元，0%</w:t>
      </w:r>
    </w:p>
    <w:p>
      <w:pPr>
        <w:spacing w:beforeLines="0" w:afterLines="0"/>
        <w:ind w:firstLine="640"/>
        <w:jc w:val="left"/>
        <w:rPr>
          <w:rFonts w:hint="eastAsia" w:ascii="仿宋" w:hAnsi="仿宋" w:eastAsia="仿宋"/>
          <w:sz w:val="32"/>
        </w:rPr>
      </w:pPr>
      <w:r>
        <w:rPr>
          <w:rFonts w:hint="eastAsia" w:ascii="仿宋" w:hAnsi="仿宋" w:eastAsia="仿宋"/>
          <w:sz w:val="32"/>
        </w:rPr>
        <w:t>3．公务接待费支出0.37万元。</w:t>
      </w:r>
    </w:p>
    <w:p>
      <w:pPr>
        <w:spacing w:beforeLines="0" w:afterLines="0"/>
        <w:ind w:firstLine="640"/>
        <w:jc w:val="left"/>
        <w:rPr>
          <w:rFonts w:hint="eastAsia" w:ascii="仿宋" w:hAnsi="仿宋" w:eastAsia="仿宋"/>
          <w:sz w:val="32"/>
        </w:rPr>
      </w:pPr>
      <w:r>
        <w:rPr>
          <w:rFonts w:hint="eastAsia" w:ascii="仿宋" w:hAnsi="仿宋" w:eastAsia="仿宋"/>
          <w:sz w:val="32"/>
        </w:rPr>
        <w:t>公务接待费支出决算比2016年度</w:t>
      </w:r>
      <w:r>
        <w:rPr>
          <w:rFonts w:hint="eastAsia" w:ascii="仿宋" w:hAnsi="仿宋" w:eastAsia="仿宋"/>
          <w:sz w:val="32"/>
          <w:lang w:eastAsia="zh-CN"/>
        </w:rPr>
        <w:t>减少</w:t>
      </w:r>
      <w:r>
        <w:rPr>
          <w:rFonts w:hint="eastAsia" w:ascii="仿宋" w:hAnsi="仿宋" w:eastAsia="仿宋"/>
          <w:sz w:val="32"/>
          <w:lang w:val="en-US" w:eastAsia="zh-CN"/>
        </w:rPr>
        <w:t>2.62</w:t>
      </w:r>
      <w:r>
        <w:rPr>
          <w:rFonts w:hint="eastAsia" w:ascii="仿宋" w:hAnsi="仿宋" w:eastAsia="仿宋"/>
          <w:sz w:val="32"/>
        </w:rPr>
        <w:t>万元，</w:t>
      </w:r>
      <w:r>
        <w:rPr>
          <w:rFonts w:hint="eastAsia" w:ascii="仿宋" w:hAnsi="仿宋" w:eastAsia="仿宋"/>
          <w:sz w:val="32"/>
          <w:lang w:val="en-US" w:eastAsia="zh-CN"/>
        </w:rPr>
        <w:t>708</w:t>
      </w:r>
      <w:r>
        <w:rPr>
          <w:rFonts w:hint="eastAsia" w:ascii="仿宋" w:hAnsi="仿宋" w:eastAsia="仿宋"/>
          <w:sz w:val="32"/>
        </w:rPr>
        <w:t>%，主要原因是</w:t>
      </w:r>
      <w:r>
        <w:rPr>
          <w:rFonts w:hint="eastAsia" w:ascii="仿宋" w:hAnsi="仿宋" w:eastAsia="仿宋"/>
          <w:sz w:val="32"/>
          <w:lang w:eastAsia="zh-CN"/>
        </w:rPr>
        <w:t>严格执行中央八项规定</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仿宋" w:hAnsi="仿宋" w:eastAsia="仿宋"/>
          <w:sz w:val="32"/>
        </w:rPr>
        <w:t>河南省濮阳市台前县政法委员会2017年度共接待国内来访团组12个、来访人员93人次（不包括陪同人员）。</w:t>
      </w:r>
    </w:p>
    <w:p>
      <w:pPr>
        <w:spacing w:beforeLines="0" w:afterLines="0"/>
        <w:ind w:firstLine="640"/>
        <w:jc w:val="left"/>
        <w:rPr>
          <w:rFonts w:hint="eastAsia" w:ascii="仿宋" w:hAnsi="仿宋" w:eastAsia="仿宋"/>
          <w:sz w:val="32"/>
        </w:rPr>
      </w:pPr>
      <w:r>
        <w:rPr>
          <w:rFonts w:hint="eastAsia" w:ascii="黑体" w:hAnsi="黑体" w:eastAsia="黑体"/>
          <w:sz w:val="32"/>
        </w:rPr>
        <w:t>八、预算绩效情况说明</w:t>
      </w:r>
    </w:p>
    <w:p>
      <w:pPr>
        <w:spacing w:beforeLines="0" w:afterLines="0"/>
        <w:ind w:firstLine="640"/>
        <w:jc w:val="left"/>
        <w:rPr>
          <w:rFonts w:hint="eastAsia" w:ascii="楷体" w:hAnsi="楷体" w:eastAsia="楷体"/>
          <w:sz w:val="32"/>
        </w:rPr>
      </w:pPr>
      <w:r>
        <w:rPr>
          <w:rFonts w:hint="eastAsia" w:ascii="楷体" w:hAnsi="楷体" w:eastAsia="楷体"/>
          <w:sz w:val="32"/>
        </w:rPr>
        <w:t>（一）绩效管理工作开展情况。</w:t>
      </w:r>
    </w:p>
    <w:p>
      <w:pPr>
        <w:spacing w:beforeLines="0" w:afterLines="0"/>
        <w:ind w:firstLine="640"/>
        <w:jc w:val="left"/>
        <w:rPr>
          <w:rFonts w:hint="eastAsia" w:ascii="楷体" w:hAnsi="楷体" w:eastAsia="楷体"/>
          <w:sz w:val="32"/>
        </w:rPr>
      </w:pPr>
      <w:r>
        <w:rPr>
          <w:rFonts w:hint="eastAsia" w:ascii="仿宋_GB2312" w:hAnsi="仿宋_GB2312" w:eastAsia="仿宋_GB2312" w:cs="仿宋_GB2312"/>
          <w:sz w:val="32"/>
          <w:szCs w:val="32"/>
          <w:lang w:val="en-US" w:eastAsia="zh-CN"/>
        </w:rPr>
        <w:t>根据上级财政部署，我单位充分认识到加强预算绩效管理工作的重要性和紧迫性，积极落实上级相关文件精神，不断强化绩效理念，加强绩效评价管理与资金监管相互融合，绩效评价在全过程管理机制不断完善。</w:t>
      </w:r>
      <w:bookmarkStart w:id="0" w:name="_GoBack"/>
      <w:bookmarkEnd w:id="0"/>
    </w:p>
    <w:p>
      <w:pPr>
        <w:numPr>
          <w:ilvl w:val="0"/>
          <w:numId w:val="5"/>
        </w:numPr>
        <w:spacing w:beforeLines="0" w:afterLines="0"/>
        <w:ind w:firstLine="640"/>
        <w:jc w:val="left"/>
        <w:rPr>
          <w:rFonts w:hint="eastAsia" w:ascii="楷体" w:hAnsi="楷体" w:eastAsia="楷体"/>
          <w:sz w:val="32"/>
        </w:rPr>
      </w:pPr>
      <w:r>
        <w:rPr>
          <w:rFonts w:hint="eastAsia" w:ascii="楷体" w:hAnsi="楷体" w:eastAsia="楷体"/>
          <w:sz w:val="32"/>
        </w:rPr>
        <w:t>项目绩效自评结果。</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sz w:val="32"/>
          <w:lang w:val="en-US" w:eastAsia="zh-CN"/>
        </w:rPr>
        <w:t xml:space="preserve">     </w:t>
      </w:r>
      <w:r>
        <w:rPr>
          <w:rFonts w:hint="eastAsia" w:ascii="仿宋_GB2312" w:hAnsi="仿宋_GB2312" w:eastAsia="仿宋_GB2312" w:cs="仿宋_GB2312"/>
          <w:sz w:val="32"/>
          <w:szCs w:val="32"/>
          <w:lang w:val="en-US" w:eastAsia="zh-CN"/>
        </w:rPr>
        <w:t>我单位绩效评价制度体系尚不完善，绩效评价仍处于积极探索阶段，绩效评价指标体系还不完善。下一步，我单位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numPr>
          <w:numId w:val="0"/>
        </w:numPr>
        <w:spacing w:beforeLines="0" w:afterLines="0"/>
        <w:jc w:val="left"/>
        <w:rPr>
          <w:rFonts w:hint="eastAsia" w:ascii="楷体" w:hAnsi="楷体" w:eastAsia="楷体"/>
          <w:sz w:val="32"/>
          <w:lang w:val="en-US" w:eastAsia="zh-CN"/>
        </w:rPr>
      </w:pPr>
    </w:p>
    <w:p>
      <w:pPr>
        <w:spacing w:beforeLines="0" w:afterLines="0"/>
        <w:ind w:firstLine="640"/>
        <w:jc w:val="left"/>
        <w:rPr>
          <w:rFonts w:hint="eastAsia" w:ascii="仿宋" w:hAnsi="仿宋" w:eastAsia="仿宋"/>
          <w:sz w:val="32"/>
        </w:rPr>
      </w:pPr>
      <w:r>
        <w:rPr>
          <w:rFonts w:hint="eastAsia" w:ascii="黑体" w:hAnsi="黑体" w:eastAsia="黑体"/>
          <w:sz w:val="32"/>
        </w:rPr>
        <w:t>九、政府性基金预算财政拨款支出决算情况说明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2017年度政府性基金预算财政拨款支出年初预算为0万元，支出决算为0万元，完成年初预算的0%。</w:t>
      </w:r>
    </w:p>
    <w:p>
      <w:pPr>
        <w:spacing w:beforeLines="0" w:afterLines="0"/>
        <w:ind w:firstLine="640"/>
        <w:jc w:val="left"/>
        <w:rPr>
          <w:rFonts w:hint="eastAsia" w:ascii="仿宋" w:hAnsi="仿宋" w:eastAsia="仿宋"/>
          <w:sz w:val="32"/>
        </w:rPr>
      </w:pPr>
      <w:r>
        <w:rPr>
          <w:rFonts w:hint="eastAsia" w:ascii="黑体" w:hAnsi="黑体" w:eastAsia="黑体"/>
          <w:sz w:val="32"/>
        </w:rPr>
        <w:t>十、机关运行经费支出情况说明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2017年度机关运行经费支出336.22万元，较2016年度</w:t>
      </w:r>
      <w:r>
        <w:rPr>
          <w:rFonts w:hint="eastAsia" w:ascii="仿宋" w:hAnsi="仿宋" w:eastAsia="仿宋"/>
          <w:sz w:val="32"/>
          <w:lang w:eastAsia="zh-CN"/>
        </w:rPr>
        <w:t>增加</w:t>
      </w:r>
      <w:r>
        <w:rPr>
          <w:rFonts w:hint="eastAsia" w:ascii="仿宋" w:hAnsi="仿宋" w:eastAsia="仿宋"/>
          <w:sz w:val="32"/>
          <w:lang w:val="en-US" w:eastAsia="zh-CN"/>
        </w:rPr>
        <w:t>283.61</w:t>
      </w:r>
      <w:r>
        <w:rPr>
          <w:rFonts w:hint="eastAsia" w:ascii="仿宋" w:hAnsi="仿宋" w:eastAsia="仿宋"/>
          <w:sz w:val="32"/>
        </w:rPr>
        <w:t>万元，</w:t>
      </w:r>
      <w:r>
        <w:rPr>
          <w:rFonts w:hint="eastAsia" w:ascii="仿宋" w:hAnsi="仿宋" w:eastAsia="仿宋"/>
          <w:sz w:val="32"/>
          <w:lang w:eastAsia="zh-CN"/>
        </w:rPr>
        <w:t>增长</w:t>
      </w:r>
      <w:r>
        <w:rPr>
          <w:rFonts w:hint="eastAsia" w:ascii="仿宋" w:hAnsi="仿宋" w:eastAsia="仿宋"/>
          <w:sz w:val="32"/>
          <w:lang w:val="en-US" w:eastAsia="zh-CN"/>
        </w:rPr>
        <w:t>539</w:t>
      </w:r>
      <w:r>
        <w:rPr>
          <w:rFonts w:hint="eastAsia" w:ascii="仿宋" w:hAnsi="仿宋" w:eastAsia="仿宋"/>
          <w:sz w:val="32"/>
        </w:rPr>
        <w:t>%。的主要原因是</w:t>
      </w:r>
      <w:r>
        <w:rPr>
          <w:rFonts w:hint="eastAsia" w:ascii="仿宋" w:hAnsi="仿宋" w:eastAsia="仿宋"/>
          <w:sz w:val="32"/>
          <w:lang w:eastAsia="zh-CN"/>
        </w:rPr>
        <w:t>综治工作和治安防控体系建设加大投入</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十一、政府采购支出情况说明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2017年度政府采购支出总额0万元</w:t>
      </w:r>
      <w:r>
        <w:rPr>
          <w:rFonts w:hint="eastAsia" w:ascii="仿宋" w:hAnsi="仿宋" w:eastAsia="仿宋"/>
          <w:sz w:val="32"/>
          <w:lang w:val="en-US" w:eastAsia="zh-CN"/>
        </w:rPr>
        <w:t>.</w:t>
      </w:r>
    </w:p>
    <w:p>
      <w:pPr>
        <w:spacing w:beforeLines="0" w:afterLines="0"/>
        <w:ind w:firstLine="640"/>
        <w:jc w:val="left"/>
        <w:rPr>
          <w:rFonts w:hint="eastAsia" w:ascii="仿宋" w:hAnsi="仿宋" w:eastAsia="仿宋"/>
          <w:sz w:val="32"/>
        </w:rPr>
      </w:pPr>
      <w:r>
        <w:rPr>
          <w:rFonts w:hint="eastAsia" w:ascii="黑体" w:hAnsi="黑体" w:eastAsia="黑体"/>
          <w:sz w:val="32"/>
        </w:rPr>
        <w:t>十二、国有资产占用情况说明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期末，河南省濮阳市台前县政法委员会共有车辆1辆，其中：一般公务用车1辆、一般执法执勤用车0辆、特种专业技术用车0辆，其他用车0辆；单位价值50万元以上通用设备0台（套），单位价值100万元以上专用设备0台（套）。</w:t>
      </w:r>
    </w:p>
    <w:p>
      <w:pPr>
        <w:spacing w:beforeLines="0" w:afterLines="0"/>
        <w:jc w:val="left"/>
        <w:rPr>
          <w:rFonts w:hint="eastAsia" w:ascii="仿宋" w:hAnsi="仿宋" w:eastAsia="仿宋"/>
          <w:sz w:val="32"/>
        </w:rPr>
      </w:pPr>
      <w:r>
        <w:rPr>
          <w:rFonts w:hint="eastAsia" w:ascii="仿宋" w:hAnsi="仿宋" w:eastAsia="仿宋"/>
          <w:sz w:val="32"/>
        </w:rPr>
        <w:t xml:space="preserve">    </w:t>
      </w:r>
      <w:r>
        <w:rPr>
          <w:rFonts w:hint="eastAsia" w:ascii="黑体" w:hAnsi="黑体" w:eastAsia="黑体"/>
          <w:sz w:val="32"/>
        </w:rPr>
        <w:t>十三、其他重要事项的情况说明</w:t>
      </w:r>
    </w:p>
    <w:p>
      <w:pPr>
        <w:spacing w:beforeLines="0" w:afterLines="0"/>
        <w:jc w:val="left"/>
        <w:rPr>
          <w:rFonts w:hint="eastAsia" w:ascii="Times New Roman" w:hAnsi="Times New Roman" w:eastAsia="仿宋"/>
          <w:sz w:val="52"/>
          <w:lang w:eastAsia="zh-CN"/>
        </w:rPr>
      </w:pPr>
      <w:r>
        <w:rPr>
          <w:rFonts w:hint="eastAsia" w:ascii="仿宋" w:hAnsi="仿宋" w:eastAsia="仿宋"/>
          <w:sz w:val="32"/>
        </w:rPr>
        <w:t xml:space="preserve">   </w:t>
      </w:r>
      <w:r>
        <w:rPr>
          <w:rFonts w:hint="eastAsia" w:ascii="仿宋" w:hAnsi="仿宋" w:eastAsia="仿宋"/>
          <w:sz w:val="32"/>
          <w:lang w:eastAsia="zh-CN"/>
        </w:rPr>
        <w:t>无</w:t>
      </w:r>
    </w:p>
    <w:p>
      <w:pPr>
        <w:spacing w:beforeLines="0" w:afterLines="0"/>
        <w:rPr>
          <w:rFonts w:hint="default" w:ascii="Times New Roman" w:hAnsi="Times New Roman" w:eastAsia="Times New Roman"/>
          <w:sz w:val="21"/>
        </w:rPr>
      </w:pPr>
    </w:p>
    <w:p>
      <w:pPr>
        <w:spacing w:beforeLines="0" w:afterLines="0"/>
        <w:jc w:val="left"/>
        <w:rPr>
          <w:rFonts w:hint="eastAsia" w:ascii="宋体" w:hAnsi="宋体"/>
          <w:kern w:val="0"/>
          <w:sz w:val="18"/>
          <w:lang w:val="zh-CN"/>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指县级财政当年拨付的资金。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指事业单位开展专业业务活动及辅助活动所取得的收入。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三、其他收入：</w:t>
      </w:r>
      <w:r>
        <w:rPr>
          <w:rFonts w:hint="eastAsia" w:ascii="仿宋_GB2312" w:hAnsi="宋体" w:eastAsia="仿宋_GB2312" w:cs="Courier New"/>
          <w:sz w:val="32"/>
          <w:szCs w:val="32"/>
        </w:rPr>
        <w:t>指本部门取得的除“财政拨款收入”、“事业收入”、“经营收入”等以外的收入。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rPr>
        <w:t>指事业单位在当年的“财政拨款收入”、“事业收入”和“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五、年末结转和结余：</w:t>
      </w:r>
      <w:r>
        <w:rPr>
          <w:rFonts w:hint="eastAsia" w:ascii="仿宋_GB2312" w:hAnsi="宋体" w:eastAsia="仿宋_GB2312" w:cs="Courier New"/>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八、“三公”经费：</w:t>
      </w:r>
      <w:r>
        <w:rPr>
          <w:rFonts w:hint="eastAsia" w:ascii="仿宋_GB2312" w:hAnsi="宋体" w:eastAsia="仿宋_GB2312" w:cs="Courier New"/>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九、机关运行经费：</w:t>
      </w:r>
      <w:r>
        <w:rPr>
          <w:rFonts w:hint="eastAsia" w:ascii="仿宋_GB2312" w:hAnsi="宋体" w:eastAsia="仿宋_GB2312" w:cs="Courier New"/>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rPr>
          <w:rFonts w:ascii="仿宋_GB2312" w:hAnsi="宋体" w:eastAsia="仿宋_GB2312" w:cs="Courier New"/>
          <w:sz w:val="52"/>
          <w:szCs w:val="52"/>
          <w:highlight w:val="yellow"/>
        </w:rPr>
      </w:pPr>
    </w:p>
    <w:sectPr>
      <w:pgSz w:w="11906" w:h="16838"/>
      <w:pgMar w:top="1440" w:right="1531" w:bottom="1440" w:left="1587" w:header="850"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隶书">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6"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- 17 -</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95594216">
    <w:nsid w:val="A6A161E8"/>
    <w:multiLevelType w:val="singleLevel"/>
    <w:tmpl w:val="A6A161E8"/>
    <w:lvl w:ilvl="0" w:tentative="1">
      <w:start w:val="2"/>
      <w:numFmt w:val="chineseCounting"/>
      <w:suff w:val="nothing"/>
      <w:lvlText w:val="（%1）"/>
      <w:lvlJc w:val="left"/>
      <w:rPr>
        <w:rFonts w:hint="eastAsia"/>
      </w:rPr>
    </w:lvl>
  </w:abstractNum>
  <w:abstractNum w:abstractNumId="1665884388">
    <w:nsid w:val="634B60E4"/>
    <w:multiLevelType w:val="singleLevel"/>
    <w:tmpl w:val="634B60E4"/>
    <w:lvl w:ilvl="0" w:tentative="1">
      <w:start w:val="1"/>
      <w:numFmt w:val="decimal"/>
      <w:suff w:val="nothing"/>
      <w:lvlText w:val="%1．"/>
      <w:lvlJc w:val="left"/>
    </w:lvl>
  </w:abstractNum>
  <w:abstractNum w:abstractNumId="11">
    <w:nsid w:val="0000000B"/>
    <w:multiLevelType w:val="singleLevel"/>
    <w:tmpl w:val="0000000B"/>
    <w:lvl w:ilvl="0" w:tentative="1">
      <w:start w:val="1"/>
      <w:numFmt w:val="chineseCounting"/>
      <w:suff w:val="nothing"/>
      <w:lvlText w:val="%1、"/>
      <w:lvlJc w:val="left"/>
      <w:pPr>
        <w:ind w:firstLine="420"/>
      </w:pPr>
      <w:rPr>
        <w:rFonts w:hint="eastAsia" w:cs="Times New Roman"/>
      </w:rPr>
    </w:lvl>
  </w:abstractNum>
  <w:abstractNum w:abstractNumId="12">
    <w:nsid w:val="0000000C"/>
    <w:multiLevelType w:val="singleLevel"/>
    <w:tmpl w:val="0000000C"/>
    <w:lvl w:ilvl="0" w:tentative="1">
      <w:start w:val="1"/>
      <w:numFmt w:val="chineseCounting"/>
      <w:suff w:val="nothing"/>
      <w:lvlText w:val="%1、"/>
      <w:lvlJc w:val="left"/>
      <w:rPr>
        <w:rFonts w:cs="Times New Roman"/>
      </w:rPr>
    </w:lvl>
  </w:abstractNum>
  <w:abstractNum w:abstractNumId="14">
    <w:nsid w:val="0000000E"/>
    <w:multiLevelType w:val="singleLevel"/>
    <w:tmpl w:val="0000000E"/>
    <w:lvl w:ilvl="0" w:tentative="1">
      <w:start w:val="2"/>
      <w:numFmt w:val="chineseCounting"/>
      <w:suff w:val="nothing"/>
      <w:lvlText w:val="%1、"/>
      <w:lvlJc w:val="left"/>
      <w:rPr>
        <w:rFonts w:cs="Times New Roman"/>
      </w:rPr>
    </w:lvl>
  </w:abstractNum>
  <w:num w:numId="1">
    <w:abstractNumId w:val="12"/>
  </w:num>
  <w:num w:numId="2">
    <w:abstractNumId w:val="11"/>
  </w:num>
  <w:num w:numId="3">
    <w:abstractNumId w:val="14"/>
  </w:num>
  <w:num w:numId="4">
    <w:abstractNumId w:val="1665884388"/>
  </w:num>
  <w:num w:numId="5">
    <w:abstractNumId w:val="27955942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40503"/>
    <w:rsid w:val="001037A9"/>
    <w:rsid w:val="001B62F4"/>
    <w:rsid w:val="001C363F"/>
    <w:rsid w:val="00234F58"/>
    <w:rsid w:val="00695677"/>
    <w:rsid w:val="006E1916"/>
    <w:rsid w:val="007236DB"/>
    <w:rsid w:val="007331A9"/>
    <w:rsid w:val="0084091F"/>
    <w:rsid w:val="009F6BEC"/>
    <w:rsid w:val="00A82876"/>
    <w:rsid w:val="00A82BD0"/>
    <w:rsid w:val="00A967DA"/>
    <w:rsid w:val="00AA0026"/>
    <w:rsid w:val="00B32D24"/>
    <w:rsid w:val="00BC5BA6"/>
    <w:rsid w:val="00CA343C"/>
    <w:rsid w:val="00DC5013"/>
    <w:rsid w:val="00E60BFC"/>
    <w:rsid w:val="00ED279C"/>
    <w:rsid w:val="043A52F4"/>
    <w:rsid w:val="0474414D"/>
    <w:rsid w:val="05021B0F"/>
    <w:rsid w:val="0CCB2674"/>
    <w:rsid w:val="0F143082"/>
    <w:rsid w:val="12D24C52"/>
    <w:rsid w:val="19A97EC5"/>
    <w:rsid w:val="1B1B4A5A"/>
    <w:rsid w:val="22F4357E"/>
    <w:rsid w:val="240312CB"/>
    <w:rsid w:val="25D83C64"/>
    <w:rsid w:val="32260BFB"/>
    <w:rsid w:val="3379668C"/>
    <w:rsid w:val="374F6EDC"/>
    <w:rsid w:val="401C0321"/>
    <w:rsid w:val="444F5067"/>
    <w:rsid w:val="48CE6039"/>
    <w:rsid w:val="57E733CD"/>
    <w:rsid w:val="62DC3FDD"/>
    <w:rsid w:val="678002E3"/>
    <w:rsid w:val="67922EEA"/>
    <w:rsid w:val="67A346E6"/>
    <w:rsid w:val="69984772"/>
    <w:rsid w:val="7AE872B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4"/>
    <w:link w:val="2"/>
    <w:semiHidden/>
    <w:uiPriority w:val="99"/>
    <w:rPr>
      <w:rFonts w:ascii="Calibri" w:hAnsi="Calibri" w:cs="黑体"/>
      <w:sz w:val="18"/>
      <w:szCs w:val="18"/>
    </w:rPr>
  </w:style>
  <w:style w:type="character" w:customStyle="1" w:styleId="7">
    <w:name w:val="Header Char"/>
    <w:basedOn w:val="4"/>
    <w:link w:val="3"/>
    <w:semiHidden/>
    <w:qFormat/>
    <w:uiPriority w:val="99"/>
    <w:rPr>
      <w:rFonts w:ascii="Calibri" w:hAnsi="Calibri" w:cs="黑体"/>
      <w:sz w:val="18"/>
      <w:szCs w:val="18"/>
    </w:rPr>
  </w:style>
  <w:style w:type="character" w:customStyle="1" w:styleId="8">
    <w:name w:val="font31"/>
    <w:basedOn w:val="4"/>
    <w:qFormat/>
    <w:uiPriority w:val="99"/>
    <w:rPr>
      <w:rFonts w:ascii="Arial" w:hAnsi="Arial" w:cs="Arial"/>
      <w:color w:val="000000"/>
      <w:sz w:val="16"/>
      <w:szCs w:val="16"/>
      <w:u w:val="none"/>
    </w:rPr>
  </w:style>
  <w:style w:type="character" w:customStyle="1" w:styleId="9">
    <w:name w:val="font01"/>
    <w:basedOn w:val="4"/>
    <w:qFormat/>
    <w:uiPriority w:val="99"/>
    <w:rPr>
      <w:rFonts w:ascii="Arial" w:hAnsi="Arial" w:cs="Arial"/>
      <w:color w:val="000000"/>
      <w:sz w:val="16"/>
      <w:szCs w:val="16"/>
      <w:u w:val="none"/>
    </w:rPr>
  </w:style>
  <w:style w:type="character" w:customStyle="1" w:styleId="10">
    <w:name w:val="font41"/>
    <w:basedOn w:val="4"/>
    <w:qFormat/>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22</Pages>
  <Words>1271</Words>
  <Characters>7250</Characters>
  <Lines>0</Lines>
  <Paragraphs>0</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wsj</dc:creator>
  <cp:lastModifiedBy>Administrator</cp:lastModifiedBy>
  <cp:lastPrinted>2017-10-11T17:08:00Z</cp:lastPrinted>
  <dcterms:modified xsi:type="dcterms:W3CDTF">2018-10-02T01:44:00Z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