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中共台前县委办公室</w:t>
      </w:r>
    </w:p>
    <w:p>
      <w:pPr>
        <w:jc w:val="center"/>
        <w:rPr>
          <w:rFonts w:ascii="黑体" w:hAnsi="黑体" w:eastAsia="黑体" w:cs="黑体"/>
          <w:sz w:val="52"/>
          <w:szCs w:val="52"/>
        </w:rPr>
      </w:pPr>
    </w:p>
    <w:p>
      <w:pPr>
        <w:jc w:val="center"/>
        <w:rPr>
          <w:rFonts w:ascii="隶书" w:hAnsi="隶书" w:eastAsia="隶书" w:cs="隶书"/>
          <w:sz w:val="52"/>
          <w:szCs w:val="52"/>
        </w:rPr>
      </w:pPr>
      <w:r>
        <w:rPr>
          <w:rFonts w:hint="eastAsia" w:ascii="隶书" w:hAnsi="隶书" w:eastAsia="隶书" w:cs="隶书"/>
          <w:sz w:val="52"/>
          <w:szCs w:val="52"/>
        </w:rPr>
        <w:t>201</w:t>
      </w:r>
      <w:r>
        <w:rPr>
          <w:rFonts w:ascii="隶书" w:hAnsi="隶书" w:eastAsia="隶书" w:cs="隶书"/>
          <w:sz w:val="52"/>
          <w:szCs w:val="52"/>
        </w:rPr>
        <w:t>7</w:t>
      </w:r>
      <w:r>
        <w:rPr>
          <w:rFonts w:hint="eastAsia" w:ascii="隶书" w:hAnsi="隶书" w:eastAsia="隶书" w:cs="隶书"/>
          <w:sz w:val="52"/>
          <w:szCs w:val="52"/>
        </w:rPr>
        <w:t>年度部门决算</w:t>
      </w:r>
    </w:p>
    <w:p>
      <w:pPr>
        <w:rPr>
          <w:rFonts w:ascii="隶书" w:hAnsi="隶书" w:eastAsia="隶书" w:cs="隶书"/>
          <w:sz w:val="52"/>
          <w:szCs w:val="52"/>
        </w:rPr>
      </w:pPr>
    </w:p>
    <w:p>
      <w:pPr>
        <w:rPr>
          <w:rFonts w:ascii="隶书" w:hAnsi="隶书" w:eastAsia="隶书" w:cs="隶书"/>
          <w:sz w:val="52"/>
          <w:szCs w:val="52"/>
        </w:rPr>
      </w:pPr>
    </w:p>
    <w:p>
      <w:pPr>
        <w:rPr>
          <w:rFonts w:ascii="隶书" w:hAnsi="隶书" w:eastAsia="隶书" w:cs="隶书"/>
          <w:sz w:val="52"/>
          <w:szCs w:val="52"/>
        </w:rPr>
      </w:pPr>
    </w:p>
    <w:p>
      <w:pPr>
        <w:rPr>
          <w:rFonts w:ascii="隶书" w:hAnsi="隶书" w:eastAsia="隶书" w:cs="隶书"/>
          <w:sz w:val="52"/>
          <w:szCs w:val="52"/>
        </w:rPr>
      </w:pPr>
    </w:p>
    <w:p>
      <w:pPr>
        <w:rPr>
          <w:rFonts w:ascii="隶书" w:hAnsi="隶书" w:eastAsia="隶书" w:cs="隶书"/>
          <w:sz w:val="52"/>
          <w:szCs w:val="52"/>
        </w:rPr>
      </w:pPr>
    </w:p>
    <w:p>
      <w:pPr>
        <w:tabs>
          <w:tab w:val="left" w:pos="3265"/>
        </w:tabs>
        <w:jc w:val="center"/>
        <w:rPr>
          <w:rFonts w:ascii="隶书" w:hAnsi="隶书" w:eastAsia="隶书" w:cs="隶书"/>
          <w:sz w:val="52"/>
          <w:szCs w:val="52"/>
        </w:rPr>
      </w:pPr>
      <w:r>
        <w:rPr>
          <w:rFonts w:hint="eastAsia" w:ascii="隶书" w:hAnsi="隶书" w:eastAsia="隶书" w:cs="隶书"/>
          <w:sz w:val="52"/>
          <w:szCs w:val="52"/>
        </w:rPr>
        <w:t>二〇一八年九月</w:t>
      </w:r>
    </w:p>
    <w:p>
      <w:pPr>
        <w:rPr>
          <w:rFonts w:ascii="隶书" w:hAnsi="隶书" w:eastAsia="隶书" w:cs="隶书"/>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中共台前县委办公室概况</w:t>
      </w:r>
    </w:p>
    <w:p>
      <w:pPr>
        <w:numPr>
          <w:ilvl w:val="0"/>
          <w:numId w:val="1"/>
        </w:numPr>
        <w:ind w:firstLine="640" w:firstLineChars="200"/>
        <w:jc w:val="left"/>
        <w:rPr>
          <w:rFonts w:ascii="宋体" w:hAnsi="宋体" w:eastAsia="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ind w:firstLine="640" w:firstLineChars="200"/>
        <w:jc w:val="left"/>
        <w:rPr>
          <w:rFonts w:ascii="宋体" w:hAnsi="宋体" w:eastAsia="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ind w:firstLine="640" w:firstLineChars="200"/>
        <w:jc w:val="left"/>
        <w:rPr>
          <w:rFonts w:ascii="宋体" w:hAnsi="宋体" w:eastAsia="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sz w:val="32"/>
        </w:rPr>
        <w:t>十三、其他重要事项的情况说明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p>
    <w:p>
      <w:pPr>
        <w:jc w:val="left"/>
        <w:rPr>
          <w:rFonts w:ascii="黑体" w:hAnsi="黑体" w:eastAsia="黑体" w:cs="黑体"/>
          <w:sz w:val="32"/>
          <w:szCs w:val="32"/>
        </w:rPr>
      </w:pPr>
    </w:p>
    <w:p>
      <w:pPr>
        <w:numPr>
          <w:ilvl w:val="0"/>
          <w:numId w:val="2"/>
        </w:numPr>
        <w:jc w:val="center"/>
        <w:outlineLvl w:val="0"/>
        <w:rPr>
          <w:rFonts w:ascii="隶书" w:hAnsi="隶书" w:eastAsia="隶书" w:cs="隶书"/>
          <w:sz w:val="48"/>
          <w:szCs w:val="48"/>
        </w:rPr>
      </w:pPr>
      <w:r>
        <w:rPr>
          <w:rFonts w:hint="eastAsia" w:ascii="隶书" w:hAnsi="隶书" w:eastAsia="隶书" w:cs="隶书"/>
          <w:sz w:val="48"/>
          <w:szCs w:val="48"/>
        </w:rPr>
        <w:t>分　中共台前县委办公室</w:t>
      </w:r>
      <w:r>
        <w:rPr>
          <w:rFonts w:hint="eastAsia" w:ascii="隶书" w:hAnsi="隶书" w:eastAsia="隶书" w:cs="隶书"/>
          <w:sz w:val="48"/>
          <w:szCs w:val="48"/>
          <w:lang w:val="en-US" w:eastAsia="zh-CN"/>
        </w:rPr>
        <w:t xml:space="preserve">  </w:t>
      </w:r>
    </w:p>
    <w:p>
      <w:pPr>
        <w:numPr>
          <w:ilvl w:val="0"/>
          <w:numId w:val="0"/>
        </w:numPr>
        <w:jc w:val="both"/>
        <w:outlineLvl w:val="0"/>
        <w:rPr>
          <w:rFonts w:hint="eastAsia" w:ascii="隶书" w:hAnsi="隶书" w:eastAsia="隶书" w:cs="隶书"/>
          <w:sz w:val="48"/>
          <w:szCs w:val="48"/>
          <w:lang w:val="en-US" w:eastAsia="zh-CN"/>
        </w:rPr>
      </w:pPr>
      <w:r>
        <w:rPr>
          <w:rFonts w:hint="eastAsia" w:ascii="隶书" w:hAnsi="隶书" w:eastAsia="隶书" w:cs="隶书"/>
          <w:sz w:val="48"/>
          <w:szCs w:val="48"/>
          <w:lang w:val="en-US" w:eastAsia="zh-CN"/>
        </w:rPr>
        <w:t xml:space="preserve">                 概  况</w:t>
      </w:r>
    </w:p>
    <w:p>
      <w:pPr>
        <w:spacing w:line="360" w:lineRule="auto"/>
        <w:ind w:firstLine="960" w:firstLineChars="300"/>
        <w:jc w:val="left"/>
        <w:outlineLvl w:val="1"/>
        <w:rPr>
          <w:rFonts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hint="eastAsia" w:ascii="黑体" w:hAnsi="黑体" w:eastAsia="黑体" w:cs="黑体"/>
          <w:sz w:val="32"/>
          <w:szCs w:val="32"/>
        </w:rPr>
      </w:pPr>
    </w:p>
    <w:p>
      <w:pPr>
        <w:spacing w:line="360" w:lineRule="auto"/>
        <w:ind w:firstLine="960" w:firstLineChars="300"/>
        <w:jc w:val="left"/>
        <w:outlineLvl w:val="1"/>
        <w:rPr>
          <w:rFonts w:ascii="黑体" w:hAnsi="黑体" w:eastAsia="黑体" w:cs="黑体"/>
          <w:sz w:val="32"/>
          <w:szCs w:val="32"/>
        </w:rPr>
      </w:pPr>
      <w:r>
        <w:rPr>
          <w:rFonts w:hint="eastAsia" w:ascii="黑体" w:hAnsi="黑体" w:eastAsia="黑体" w:cs="黑体"/>
          <w:sz w:val="32"/>
          <w:szCs w:val="32"/>
        </w:rPr>
        <w:t>一、主要职责</w:t>
      </w:r>
    </w:p>
    <w:p>
      <w:pPr>
        <w:adjustRightInd w:val="0"/>
        <w:snapToGrid w:val="0"/>
        <w:spacing w:line="600" w:lineRule="exact"/>
        <w:ind w:firstLine="640" w:firstLineChars="200"/>
        <w:rPr>
          <w:sz w:val="32"/>
          <w:szCs w:val="32"/>
        </w:rPr>
      </w:pPr>
      <w:r>
        <w:rPr>
          <w:rFonts w:hint="eastAsia"/>
          <w:sz w:val="32"/>
          <w:szCs w:val="32"/>
        </w:rPr>
        <w:t>（一）承担县委、县委办公室文件、县委领导同志讲话、县委向市委的工作报告等各种文电材料的起草、审核、把关工作。</w:t>
      </w:r>
    </w:p>
    <w:p>
      <w:pPr>
        <w:adjustRightInd w:val="0"/>
        <w:snapToGrid w:val="0"/>
        <w:spacing w:line="600" w:lineRule="exact"/>
        <w:ind w:firstLine="640" w:firstLineChars="200"/>
        <w:rPr>
          <w:sz w:val="32"/>
          <w:szCs w:val="32"/>
        </w:rPr>
      </w:pPr>
      <w:r>
        <w:rPr>
          <w:rFonts w:hint="eastAsia"/>
          <w:sz w:val="32"/>
          <w:szCs w:val="32"/>
        </w:rPr>
        <w:t>（二）围绕县委总体工作部署，积极开展各领域、各方面的调查研究，反馈情况，为县委正确决策和决策的顺利贯彻实施提供依据和参考，同时对群众所关心的热点、难点问题进行调研，提出建议供县委领导决策。</w:t>
      </w:r>
    </w:p>
    <w:p>
      <w:pPr>
        <w:adjustRightInd w:val="0"/>
        <w:snapToGrid w:val="0"/>
        <w:spacing w:line="600" w:lineRule="exact"/>
        <w:ind w:firstLine="640" w:firstLineChars="200"/>
        <w:rPr>
          <w:sz w:val="32"/>
          <w:szCs w:val="32"/>
        </w:rPr>
      </w:pPr>
      <w:r>
        <w:rPr>
          <w:rFonts w:hint="eastAsia"/>
          <w:sz w:val="32"/>
          <w:szCs w:val="32"/>
        </w:rPr>
        <w:t>（三）围绕中央、省、市、县委总体工作部署，负责收集、整理、编发、上报重要社会、政治、经济信息，为县委领导及上级机关提供决策依据；负责全县党委系统信息网络建设。</w:t>
      </w:r>
    </w:p>
    <w:p>
      <w:pPr>
        <w:adjustRightInd w:val="0"/>
        <w:snapToGrid w:val="0"/>
        <w:spacing w:line="600" w:lineRule="exact"/>
        <w:ind w:firstLine="640" w:firstLineChars="200"/>
        <w:rPr>
          <w:sz w:val="32"/>
          <w:szCs w:val="32"/>
        </w:rPr>
      </w:pPr>
      <w:r>
        <w:rPr>
          <w:rFonts w:hint="eastAsia"/>
          <w:sz w:val="32"/>
          <w:szCs w:val="32"/>
        </w:rPr>
        <w:t>（四）按照县委要求负责督促检查和中央、省、市、县委重要工作部署的贯彻落实，及上级机关和县委领导批示件的办理情况，并做好情况反馈工作。</w:t>
      </w:r>
    </w:p>
    <w:p>
      <w:pPr>
        <w:adjustRightInd w:val="0"/>
        <w:snapToGrid w:val="0"/>
        <w:spacing w:line="600" w:lineRule="exact"/>
        <w:ind w:firstLine="640" w:firstLineChars="200"/>
        <w:rPr>
          <w:sz w:val="32"/>
          <w:szCs w:val="32"/>
        </w:rPr>
      </w:pPr>
      <w:r>
        <w:rPr>
          <w:rFonts w:hint="eastAsia"/>
          <w:sz w:val="32"/>
          <w:szCs w:val="32"/>
        </w:rPr>
        <w:t>（五）负责县委各类会议的准备和组织工作；负责县委常委会议会前的准备、会中的记录和会议纪要的整理印发工作；负责县委重大活动及县委领导日常活动的组织安排以及其他秘书服务工作。</w:t>
      </w:r>
    </w:p>
    <w:p>
      <w:pPr>
        <w:adjustRightInd w:val="0"/>
        <w:snapToGrid w:val="0"/>
        <w:spacing w:line="600" w:lineRule="exact"/>
        <w:ind w:firstLine="640" w:firstLineChars="200"/>
        <w:rPr>
          <w:sz w:val="32"/>
          <w:szCs w:val="32"/>
        </w:rPr>
      </w:pPr>
      <w:r>
        <w:rPr>
          <w:rFonts w:hint="eastAsia"/>
          <w:sz w:val="32"/>
          <w:szCs w:val="32"/>
        </w:rPr>
        <w:t>（六）负责上级文件及县委、县委办公室的文书处理和档案管理工作。</w:t>
      </w:r>
    </w:p>
    <w:p>
      <w:pPr>
        <w:adjustRightInd w:val="0"/>
        <w:snapToGrid w:val="0"/>
        <w:spacing w:line="600" w:lineRule="exact"/>
        <w:ind w:firstLine="640" w:firstLineChars="200"/>
        <w:rPr>
          <w:sz w:val="32"/>
          <w:szCs w:val="32"/>
        </w:rPr>
      </w:pPr>
      <w:r>
        <w:rPr>
          <w:rFonts w:hint="eastAsia"/>
          <w:sz w:val="32"/>
          <w:szCs w:val="32"/>
        </w:rPr>
        <w:t>（七）负责县委机关的行政事务工作及来宾接待服务工作。</w:t>
      </w:r>
    </w:p>
    <w:p>
      <w:pPr>
        <w:adjustRightInd w:val="0"/>
        <w:snapToGrid w:val="0"/>
        <w:spacing w:line="600" w:lineRule="exact"/>
        <w:ind w:firstLine="640" w:firstLineChars="200"/>
        <w:rPr>
          <w:sz w:val="32"/>
          <w:szCs w:val="32"/>
        </w:rPr>
      </w:pPr>
      <w:r>
        <w:rPr>
          <w:rFonts w:hint="eastAsia"/>
          <w:sz w:val="32"/>
          <w:szCs w:val="32"/>
        </w:rPr>
        <w:t>（八）负责县委机关党务、群团、计划生育工作。</w:t>
      </w:r>
    </w:p>
    <w:p>
      <w:pPr>
        <w:adjustRightInd w:val="0"/>
        <w:snapToGrid w:val="0"/>
        <w:spacing w:line="600" w:lineRule="exact"/>
        <w:ind w:firstLine="640" w:firstLineChars="200"/>
        <w:rPr>
          <w:sz w:val="32"/>
          <w:szCs w:val="32"/>
        </w:rPr>
      </w:pPr>
      <w:r>
        <w:rPr>
          <w:rFonts w:hint="eastAsia"/>
          <w:sz w:val="32"/>
          <w:szCs w:val="32"/>
        </w:rPr>
        <w:t>（九）负责县委保密委员会的日常工作，负责指导、监督党和国家保密法规、条例在我县的贯彻实施。</w:t>
      </w:r>
    </w:p>
    <w:p>
      <w:pPr>
        <w:adjustRightInd w:val="0"/>
        <w:snapToGrid w:val="0"/>
        <w:spacing w:line="600" w:lineRule="exact"/>
        <w:ind w:firstLine="640" w:firstLineChars="200"/>
        <w:rPr>
          <w:sz w:val="32"/>
          <w:szCs w:val="32"/>
        </w:rPr>
      </w:pPr>
      <w:r>
        <w:rPr>
          <w:rFonts w:hint="eastAsia"/>
          <w:sz w:val="32"/>
          <w:szCs w:val="32"/>
        </w:rPr>
        <w:t>（十）承担县密码领导小组交办的日常工作，负责上级机要文电、资料的传输办理工作，负责乡镇传真员的培训和设备维修工作。</w:t>
      </w:r>
    </w:p>
    <w:p>
      <w:pPr>
        <w:adjustRightInd w:val="0"/>
        <w:snapToGrid w:val="0"/>
        <w:spacing w:line="600" w:lineRule="exact"/>
        <w:ind w:firstLine="640" w:firstLineChars="200"/>
        <w:rPr>
          <w:sz w:val="32"/>
          <w:szCs w:val="32"/>
        </w:rPr>
      </w:pPr>
      <w:r>
        <w:rPr>
          <w:rFonts w:hint="eastAsia"/>
          <w:sz w:val="32"/>
          <w:szCs w:val="32"/>
        </w:rPr>
        <w:t>（十一）领导县档案局、县党史研究室、县委招待所。</w:t>
      </w:r>
    </w:p>
    <w:p>
      <w:pPr>
        <w:adjustRightInd w:val="0"/>
        <w:snapToGrid w:val="0"/>
        <w:spacing w:line="600" w:lineRule="exact"/>
        <w:ind w:firstLine="640" w:firstLineChars="200"/>
        <w:rPr>
          <w:rFonts w:hint="eastAsia"/>
          <w:sz w:val="32"/>
          <w:szCs w:val="32"/>
        </w:rPr>
      </w:pPr>
      <w:r>
        <w:rPr>
          <w:rFonts w:hint="eastAsia"/>
          <w:sz w:val="32"/>
          <w:szCs w:val="32"/>
        </w:rPr>
        <w:t>（十二）承办县委、县政府交办的其他事项。</w:t>
      </w:r>
    </w:p>
    <w:p>
      <w:pPr>
        <w:adjustRightInd w:val="0"/>
        <w:snapToGrid w:val="0"/>
        <w:spacing w:line="600" w:lineRule="exact"/>
        <w:ind w:firstLine="640" w:firstLineChars="200"/>
        <w:rPr>
          <w:rFonts w:hint="eastAsia"/>
          <w:sz w:val="32"/>
          <w:szCs w:val="32"/>
        </w:rPr>
      </w:pPr>
      <w:bookmarkStart w:id="0" w:name="_GoBack"/>
      <w:bookmarkEnd w:id="0"/>
      <w:r>
        <w:rPr>
          <w:rFonts w:hint="eastAsia" w:ascii="黑体" w:hAnsi="黑体" w:eastAsia="黑体"/>
          <w:sz w:val="32"/>
          <w:lang w:val="en-US" w:eastAsia="zh-CN"/>
        </w:rPr>
        <w:t>（</w:t>
      </w:r>
      <w:r>
        <w:rPr>
          <w:rFonts w:hint="eastAsia" w:ascii="宋体" w:hAnsi="宋体" w:eastAsia="宋体" w:cs="宋体"/>
          <w:sz w:val="32"/>
        </w:rPr>
        <w:t>十三</w:t>
      </w:r>
      <w:r>
        <w:rPr>
          <w:rFonts w:hint="eastAsia" w:ascii="宋体" w:hAnsi="宋体" w:cs="宋体"/>
          <w:sz w:val="32"/>
          <w:lang w:eastAsia="zh-CN"/>
        </w:rPr>
        <w:t>）</w:t>
      </w:r>
      <w:r>
        <w:rPr>
          <w:rFonts w:hint="eastAsia" w:ascii="宋体" w:hAnsi="宋体" w:eastAsia="宋体" w:cs="宋体"/>
          <w:sz w:val="32"/>
        </w:rPr>
        <w:t>其他重要事项的情况说明</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二、县委办公室决算单位构成</w:t>
      </w:r>
    </w:p>
    <w:p>
      <w:pPr>
        <w:adjustRightInd w:val="0"/>
        <w:snapToGrid w:val="0"/>
        <w:spacing w:line="600" w:lineRule="exact"/>
        <w:ind w:firstLine="640" w:firstLineChars="200"/>
        <w:rPr>
          <w:rFonts w:ascii="仿宋_GB2312" w:eastAsia="仿宋_GB2312"/>
          <w:spacing w:val="-1"/>
          <w:sz w:val="32"/>
          <w:szCs w:val="32"/>
        </w:rPr>
        <w:sectPr>
          <w:footerReference r:id="rId3" w:type="default"/>
          <w:pgSz w:w="11906" w:h="16838"/>
          <w:pgMar w:top="1134" w:right="907" w:bottom="1134" w:left="1020" w:header="510" w:footer="992" w:gutter="0"/>
          <w:cols w:space="720" w:num="1"/>
          <w:docGrid w:linePitch="435" w:charSpace="0"/>
        </w:sectPr>
      </w:pPr>
      <w:r>
        <w:rPr>
          <w:rFonts w:hint="eastAsia" w:ascii="仿宋_GB2312" w:hAnsi="宋体" w:eastAsia="仿宋_GB2312" w:cs="Courier New"/>
          <w:sz w:val="32"/>
          <w:szCs w:val="32"/>
        </w:rPr>
        <w:t>县委办公室、统战部、工商联、农办</w:t>
      </w:r>
      <w:r>
        <w:rPr>
          <w:rFonts w:hint="eastAsia" w:ascii="仿宋_GB2312" w:eastAsia="仿宋_GB2312"/>
          <w:spacing w:val="2"/>
          <w:sz w:val="32"/>
          <w:szCs w:val="32"/>
        </w:rPr>
        <w:t>部门</w:t>
      </w:r>
      <w:r>
        <w:rPr>
          <w:rFonts w:hint="eastAsia" w:ascii="仿宋_GB2312" w:eastAsia="仿宋_GB2312"/>
          <w:sz w:val="32"/>
          <w:szCs w:val="32"/>
        </w:rPr>
        <w:t>决</w:t>
      </w:r>
      <w:r>
        <w:rPr>
          <w:rFonts w:hint="eastAsia" w:ascii="仿宋_GB2312" w:eastAsia="仿宋_GB2312"/>
          <w:spacing w:val="2"/>
          <w:sz w:val="32"/>
          <w:szCs w:val="32"/>
        </w:rPr>
        <w:t>算县本级</w:t>
      </w:r>
      <w:r>
        <w:rPr>
          <w:rFonts w:hint="eastAsia" w:ascii="仿宋_GB2312" w:eastAsia="仿宋_GB2312"/>
          <w:spacing w:val="-1"/>
          <w:sz w:val="32"/>
          <w:szCs w:val="32"/>
        </w:rPr>
        <w:t>决算。</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隶书" w:hAnsi="隶书" w:eastAsia="隶书" w:cs="隶书"/>
          <w:sz w:val="48"/>
          <w:szCs w:val="48"/>
        </w:rPr>
        <w:t>201</w:t>
      </w:r>
      <w:r>
        <w:rPr>
          <w:rFonts w:ascii="隶书" w:hAnsi="隶书" w:eastAsia="隶书" w:cs="隶书"/>
          <w:sz w:val="48"/>
          <w:szCs w:val="48"/>
        </w:rPr>
        <w:t>7</w:t>
      </w:r>
      <w:r>
        <w:rPr>
          <w:rFonts w:hint="eastAsia" w:ascii="隶书" w:hAnsi="隶书" w:eastAsia="隶书" w:cs="隶书"/>
          <w:sz w:val="48"/>
          <w:szCs w:val="48"/>
        </w:rPr>
        <w:t>年度部门决算表</w:t>
      </w:r>
    </w:p>
    <w:tbl>
      <w:tblPr>
        <w:tblStyle w:val="6"/>
        <w:tblW w:w="10350" w:type="dxa"/>
        <w:tblInd w:w="-10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472" w:type="dxa"/>
            <w:vAlign w:val="center"/>
          </w:tcPr>
          <w:p>
            <w:pPr>
              <w:rPr>
                <w:rFonts w:ascii="宋体" w:hAnsi="宋体" w:eastAsia="宋体" w:cs="宋体"/>
                <w:color w:val="000000"/>
                <w:sz w:val="16"/>
                <w:szCs w:val="16"/>
              </w:rPr>
            </w:pPr>
          </w:p>
        </w:tc>
        <w:tc>
          <w:tcPr>
            <w:tcW w:w="1316" w:type="dxa"/>
            <w:vAlign w:val="center"/>
          </w:tcPr>
          <w:p>
            <w:pPr>
              <w:rPr>
                <w:rFonts w:ascii="宋体" w:hAnsi="宋体" w:eastAsia="宋体" w:cs="宋体"/>
                <w:color w:val="000000"/>
                <w:sz w:val="16"/>
                <w:szCs w:val="16"/>
              </w:rPr>
            </w:pPr>
          </w:p>
        </w:tc>
        <w:tc>
          <w:tcPr>
            <w:tcW w:w="3144" w:type="dxa"/>
            <w:gridSpan w:val="3"/>
            <w:vAlign w:val="center"/>
          </w:tcPr>
          <w:p>
            <w:pPr>
              <w:rPr>
                <w:rFonts w:ascii="宋体" w:hAnsi="宋体" w:eastAsia="宋体" w:cs="宋体"/>
                <w:color w:val="000000"/>
                <w:sz w:val="16"/>
                <w:szCs w:val="16"/>
              </w:rPr>
            </w:pPr>
          </w:p>
        </w:tc>
        <w:tc>
          <w:tcPr>
            <w:tcW w:w="527" w:type="dxa"/>
            <w:vAlign w:val="center"/>
          </w:tcPr>
          <w:p>
            <w:pPr>
              <w:rPr>
                <w:rFonts w:ascii="宋体" w:hAnsi="宋体" w:eastAsia="宋体" w:cs="宋体"/>
                <w:color w:val="000000"/>
                <w:sz w:val="16"/>
                <w:szCs w:val="16"/>
              </w:rPr>
            </w:pPr>
          </w:p>
        </w:tc>
        <w:tc>
          <w:tcPr>
            <w:tcW w:w="1609"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472" w:type="dxa"/>
            <w:vAlign w:val="center"/>
          </w:tcPr>
          <w:p>
            <w:pPr>
              <w:rPr>
                <w:rFonts w:ascii="宋体" w:hAnsi="宋体" w:eastAsia="宋体" w:cs="宋体"/>
                <w:color w:val="000000"/>
                <w:sz w:val="16"/>
                <w:szCs w:val="16"/>
              </w:rPr>
            </w:pPr>
          </w:p>
        </w:tc>
        <w:tc>
          <w:tcPr>
            <w:tcW w:w="1316" w:type="dxa"/>
            <w:vAlign w:val="center"/>
          </w:tcPr>
          <w:p>
            <w:pPr>
              <w:rPr>
                <w:rFonts w:ascii="宋体" w:hAnsi="宋体" w:eastAsia="宋体" w:cs="宋体"/>
                <w:color w:val="000000"/>
                <w:sz w:val="16"/>
                <w:szCs w:val="16"/>
              </w:rPr>
            </w:pPr>
          </w:p>
        </w:tc>
        <w:tc>
          <w:tcPr>
            <w:tcW w:w="3144" w:type="dxa"/>
            <w:gridSpan w:val="3"/>
            <w:vAlign w:val="center"/>
          </w:tcPr>
          <w:p>
            <w:pPr>
              <w:rPr>
                <w:rFonts w:ascii="宋体" w:hAnsi="宋体" w:eastAsia="宋体" w:cs="宋体"/>
                <w:color w:val="000000"/>
                <w:sz w:val="16"/>
                <w:szCs w:val="16"/>
              </w:rPr>
            </w:pPr>
          </w:p>
        </w:tc>
        <w:tc>
          <w:tcPr>
            <w:tcW w:w="527" w:type="dxa"/>
            <w:vAlign w:val="center"/>
          </w:tcPr>
          <w:p>
            <w:pPr>
              <w:rPr>
                <w:rFonts w:ascii="宋体" w:hAnsi="宋体" w:eastAsia="宋体" w:cs="宋体"/>
                <w:color w:val="000000"/>
                <w:sz w:val="16"/>
                <w:szCs w:val="16"/>
              </w:rPr>
            </w:pPr>
          </w:p>
        </w:tc>
        <w:tc>
          <w:tcPr>
            <w:tcW w:w="1609"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ind w:right="80"/>
              <w:jc w:val="right"/>
              <w:rPr>
                <w:rFonts w:ascii="宋体" w:hAnsi="宋体" w:eastAsia="宋体" w:cs="宋体"/>
                <w:color w:val="000000"/>
                <w:sz w:val="16"/>
                <w:szCs w:val="16"/>
              </w:rPr>
            </w:pPr>
            <w:r>
              <w:rPr>
                <w:rFonts w:ascii="宋体" w:hAnsi="宋体" w:eastAsia="宋体" w:cs="宋体"/>
                <w:color w:val="000000"/>
                <w:sz w:val="16"/>
                <w:szCs w:val="16"/>
              </w:rPr>
              <w:t>904.82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ordWrap w:val="0"/>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r>
              <w:rPr>
                <w:rFonts w:ascii="宋体" w:hAnsi="宋体" w:eastAsia="宋体" w:cs="宋体"/>
                <w:color w:val="00000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720" w:num="1"/>
          <w:docGrid w:type="lines" w:linePitch="312" w:charSpace="0"/>
        </w:sectPr>
      </w:pPr>
    </w:p>
    <w:tbl>
      <w:tblPr>
        <w:tblStyle w:val="6"/>
        <w:tblW w:w="10337" w:type="dxa"/>
        <w:tblInd w:w="-8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37" w:type="dxa"/>
            <w:gridSpan w:val="16"/>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37" w:type="dxa"/>
            <w:gridSpan w:val="2"/>
            <w:vAlign w:val="center"/>
          </w:tcPr>
          <w:p>
            <w:pPr>
              <w:rPr>
                <w:rFonts w:ascii="宋体" w:hAnsi="宋体" w:eastAsia="宋体" w:cs="宋体"/>
                <w:color w:val="000000"/>
                <w:sz w:val="16"/>
                <w:szCs w:val="16"/>
              </w:rPr>
            </w:pP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637"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036" w:type="dxa"/>
            <w:vAlign w:val="center"/>
          </w:tcPr>
          <w:p>
            <w:pPr>
              <w:rPr>
                <w:rFonts w:ascii="宋体" w:hAnsi="宋体" w:eastAsia="宋体" w:cs="宋体"/>
                <w:color w:val="000000"/>
                <w:sz w:val="16"/>
                <w:szCs w:val="16"/>
              </w:rPr>
            </w:pPr>
          </w:p>
        </w:tc>
        <w:tc>
          <w:tcPr>
            <w:tcW w:w="1904"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gridSpan w:val="2"/>
            <w:vAlign w:val="center"/>
          </w:tcPr>
          <w:p>
            <w:pPr>
              <w:rPr>
                <w:rFonts w:ascii="宋体" w:hAnsi="宋体" w:eastAsia="宋体" w:cs="宋体"/>
                <w:color w:val="000000"/>
                <w:sz w:val="16"/>
                <w:szCs w:val="16"/>
              </w:rPr>
            </w:pPr>
          </w:p>
        </w:tc>
        <w:tc>
          <w:tcPr>
            <w:tcW w:w="9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tabs>
                <w:tab w:val="left" w:pos="453"/>
              </w:tabs>
              <w:jc w:val="left"/>
              <w:rPr>
                <w:rFonts w:ascii="宋体" w:hAnsi="宋体" w:eastAsia="宋体" w:cs="宋体"/>
                <w:b/>
                <w:color w:val="000000"/>
                <w:sz w:val="16"/>
                <w:szCs w:val="16"/>
              </w:rPr>
            </w:pPr>
            <w:r>
              <w:rPr>
                <w:rFonts w:hint="eastAsia" w:ascii="宋体" w:hAnsi="宋体" w:eastAsia="宋体" w:cs="宋体"/>
                <w:b/>
                <w:color w:val="000000"/>
                <w:sz w:val="16"/>
                <w:szCs w:val="16"/>
              </w:rPr>
              <w:tab/>
            </w:r>
            <w:r>
              <w:rPr>
                <w:rFonts w:ascii="宋体" w:hAnsi="宋体" w:eastAsia="宋体" w:cs="宋体"/>
                <w:b/>
                <w:color w:val="000000"/>
                <w:sz w:val="16"/>
                <w:szCs w:val="16"/>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ascii="宋体" w:hAnsi="宋体" w:eastAsia="宋体" w:cs="宋体"/>
                <w:b/>
                <w:color w:val="000000"/>
                <w:sz w:val="16"/>
                <w:szCs w:val="16"/>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20131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eastAsia="zh-CN"/>
              </w:rPr>
              <w:t>党委办公厅（室）及相关机构事务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2013101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行政运行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社会保障和就业支出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20805</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行政事业单位离退休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2080501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归口管理的行政单位离退休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1998"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eastAsia="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337" w:type="dxa"/>
            <w:gridSpan w:val="16"/>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720" w:num="1"/>
          <w:docGrid w:type="lines" w:linePitch="317" w:charSpace="0"/>
        </w:sectPr>
      </w:pPr>
    </w:p>
    <w:tbl>
      <w:tblPr>
        <w:tblStyle w:val="6"/>
        <w:tblW w:w="10350" w:type="dxa"/>
        <w:tblInd w:w="-8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5"/>
        <w:gridCol w:w="747"/>
        <w:gridCol w:w="1638"/>
        <w:gridCol w:w="1042"/>
        <w:gridCol w:w="163"/>
        <w:gridCol w:w="836"/>
        <w:gridCol w:w="369"/>
        <w:gridCol w:w="630"/>
        <w:gridCol w:w="575"/>
        <w:gridCol w:w="424"/>
        <w:gridCol w:w="781"/>
        <w:gridCol w:w="218"/>
        <w:gridCol w:w="987"/>
        <w:gridCol w:w="1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350"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 xml:space="preserve"> 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hAnsi="宋体" w:eastAsia="宋体" w:cs="宋体"/>
                <w:color w:val="000000"/>
                <w:sz w:val="16"/>
                <w:szCs w:val="16"/>
              </w:rPr>
            </w:pP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638" w:type="dxa"/>
            <w:vAlign w:val="center"/>
          </w:tcPr>
          <w:p>
            <w:pPr>
              <w:rPr>
                <w:rFonts w:ascii="宋体" w:hAnsi="宋体" w:eastAsia="宋体" w:cs="宋体"/>
                <w:color w:val="000000"/>
                <w:sz w:val="16"/>
                <w:szCs w:val="16"/>
              </w:rPr>
            </w:pPr>
          </w:p>
        </w:tc>
        <w:tc>
          <w:tcPr>
            <w:tcW w:w="1042"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192"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对附属单位</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center" w:pos="587"/>
                <w:tab w:val="right" w:pos="1375"/>
              </w:tabs>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ab/>
            </w:r>
            <w:r>
              <w:rPr>
                <w:rFonts w:ascii="宋体" w:hAnsi="宋体" w:eastAsia="宋体" w:cs="宋体"/>
                <w:color w:val="000000"/>
                <w:sz w:val="16"/>
                <w:szCs w:val="16"/>
              </w:rPr>
              <w:t>904.82</w:t>
            </w:r>
            <w:r>
              <w:rPr>
                <w:rFonts w:hint="eastAsia" w:ascii="宋体" w:hAnsi="宋体" w:eastAsia="宋体" w:cs="宋体"/>
                <w:b/>
                <w:color w:val="000000"/>
                <w:kern w:val="0"/>
                <w:sz w:val="16"/>
                <w:szCs w:val="16"/>
              </w:rPr>
              <w:tab/>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r>
              <w:rPr>
                <w:rFonts w:ascii="宋体" w:hAnsi="宋体" w:eastAsia="宋体" w:cs="宋体"/>
                <w:b/>
                <w:color w:val="000000"/>
                <w:kern w:val="0"/>
                <w:sz w:val="16"/>
                <w:szCs w:val="16"/>
              </w:rPr>
              <w:t>904.82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20131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党委办公厅（室）及相关机构事务</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2013101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行政运行</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904.82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kern w:val="0"/>
                <w:sz w:val="16"/>
                <w:szCs w:val="16"/>
                <w:lang w:val="en-US" w:eastAsia="zh-CN"/>
              </w:rPr>
              <w:t>208</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社会保障和就业支出</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行政事业单位离退休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2080501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16"/>
                <w:szCs w:val="16"/>
                <w:lang w:eastAsia="zh-CN"/>
              </w:rPr>
            </w:pPr>
            <w:r>
              <w:rPr>
                <w:rFonts w:hint="eastAsia" w:ascii="宋体" w:hAnsi="宋体" w:cs="宋体"/>
                <w:color w:val="000000"/>
                <w:sz w:val="16"/>
                <w:szCs w:val="16"/>
                <w:lang w:eastAsia="zh-CN"/>
              </w:rPr>
              <w:t>归口管理的行政单位离退休</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0350" w:type="dxa"/>
            <w:gridSpan w:val="14"/>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720" w:num="1"/>
          <w:docGrid w:type="lines" w:linePitch="318" w:charSpace="0"/>
        </w:sectPr>
      </w:pPr>
    </w:p>
    <w:tbl>
      <w:tblPr>
        <w:tblStyle w:val="6"/>
        <w:tblW w:w="10360" w:type="dxa"/>
        <w:tblInd w:w="-8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32"/>
        <w:gridCol w:w="142"/>
        <w:gridCol w:w="260"/>
        <w:gridCol w:w="54"/>
        <w:gridCol w:w="1407"/>
        <w:gridCol w:w="1423"/>
        <w:gridCol w:w="314"/>
        <w:gridCol w:w="335"/>
        <w:gridCol w:w="417"/>
        <w:gridCol w:w="241"/>
        <w:gridCol w:w="992"/>
        <w:gridCol w:w="59"/>
        <w:gridCol w:w="1292"/>
        <w:gridCol w:w="1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360"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74" w:type="dxa"/>
            <w:gridSpan w:val="2"/>
            <w:vAlign w:val="center"/>
          </w:tcPr>
          <w:p>
            <w:pPr>
              <w:rPr>
                <w:rFonts w:ascii="宋体" w:hAnsi="宋体" w:eastAsia="宋体" w:cs="宋体"/>
                <w:color w:val="000000"/>
                <w:sz w:val="16"/>
                <w:szCs w:val="16"/>
              </w:rPr>
            </w:pPr>
          </w:p>
        </w:tc>
        <w:tc>
          <w:tcPr>
            <w:tcW w:w="314" w:type="dxa"/>
            <w:gridSpan w:val="2"/>
            <w:vAlign w:val="center"/>
          </w:tcPr>
          <w:p>
            <w:pPr>
              <w:rPr>
                <w:rFonts w:ascii="宋体" w:hAnsi="宋体" w:eastAsia="宋体" w:cs="宋体"/>
                <w:color w:val="000000"/>
                <w:sz w:val="16"/>
                <w:szCs w:val="16"/>
              </w:rPr>
            </w:pPr>
          </w:p>
        </w:tc>
        <w:tc>
          <w:tcPr>
            <w:tcW w:w="1407" w:type="dxa"/>
            <w:vAlign w:val="center"/>
          </w:tcPr>
          <w:p>
            <w:pPr>
              <w:rPr>
                <w:rFonts w:ascii="宋体" w:hAnsi="宋体" w:eastAsia="宋体" w:cs="宋体"/>
                <w:color w:val="000000"/>
                <w:sz w:val="16"/>
                <w:szCs w:val="16"/>
              </w:rPr>
            </w:pPr>
          </w:p>
        </w:tc>
        <w:tc>
          <w:tcPr>
            <w:tcW w:w="1423" w:type="dxa"/>
            <w:vAlign w:val="center"/>
          </w:tcPr>
          <w:p>
            <w:pPr>
              <w:rPr>
                <w:rFonts w:ascii="宋体" w:hAnsi="宋体" w:eastAsia="宋体" w:cs="宋体"/>
                <w:color w:val="000000"/>
                <w:sz w:val="16"/>
                <w:szCs w:val="16"/>
              </w:rPr>
            </w:pPr>
          </w:p>
        </w:tc>
        <w:tc>
          <w:tcPr>
            <w:tcW w:w="314" w:type="dxa"/>
            <w:vAlign w:val="center"/>
          </w:tcPr>
          <w:p>
            <w:pPr>
              <w:rPr>
                <w:rFonts w:ascii="宋体" w:hAnsi="宋体" w:eastAsia="宋体" w:cs="宋体"/>
                <w:color w:val="000000"/>
                <w:sz w:val="16"/>
                <w:szCs w:val="16"/>
              </w:rPr>
            </w:pPr>
          </w:p>
        </w:tc>
        <w:tc>
          <w:tcPr>
            <w:tcW w:w="993" w:type="dxa"/>
            <w:gridSpan w:val="3"/>
            <w:vAlign w:val="center"/>
          </w:tcPr>
          <w:p>
            <w:pPr>
              <w:jc w:val="right"/>
              <w:rPr>
                <w:rFonts w:ascii="宋体" w:hAnsi="宋体" w:eastAsia="宋体" w:cs="宋体"/>
                <w:color w:val="000000"/>
                <w:sz w:val="16"/>
                <w:szCs w:val="16"/>
              </w:rPr>
            </w:pPr>
          </w:p>
        </w:tc>
        <w:tc>
          <w:tcPr>
            <w:tcW w:w="992" w:type="dxa"/>
            <w:vAlign w:val="center"/>
          </w:tcPr>
          <w:p>
            <w:pPr>
              <w:jc w:val="right"/>
              <w:rPr>
                <w:rFonts w:ascii="宋体" w:hAnsi="宋体" w:eastAsia="宋体" w:cs="宋体"/>
                <w:color w:val="000000"/>
                <w:sz w:val="16"/>
                <w:szCs w:val="16"/>
              </w:rPr>
            </w:pPr>
          </w:p>
        </w:tc>
        <w:tc>
          <w:tcPr>
            <w:tcW w:w="2643"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274"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314" w:type="dxa"/>
            <w:gridSpan w:val="2"/>
            <w:vAlign w:val="center"/>
          </w:tcPr>
          <w:p>
            <w:pPr>
              <w:rPr>
                <w:rFonts w:ascii="宋体" w:hAnsi="宋体" w:eastAsia="宋体" w:cs="宋体"/>
                <w:color w:val="000000"/>
                <w:sz w:val="16"/>
                <w:szCs w:val="16"/>
              </w:rPr>
            </w:pPr>
          </w:p>
        </w:tc>
        <w:tc>
          <w:tcPr>
            <w:tcW w:w="1407" w:type="dxa"/>
            <w:vAlign w:val="center"/>
          </w:tcPr>
          <w:p>
            <w:pPr>
              <w:rPr>
                <w:rFonts w:ascii="宋体" w:hAnsi="宋体" w:eastAsia="宋体" w:cs="宋体"/>
                <w:color w:val="000000"/>
                <w:sz w:val="16"/>
                <w:szCs w:val="16"/>
              </w:rPr>
            </w:pPr>
          </w:p>
        </w:tc>
        <w:tc>
          <w:tcPr>
            <w:tcW w:w="1423" w:type="dxa"/>
            <w:vAlign w:val="center"/>
          </w:tcPr>
          <w:p>
            <w:pPr>
              <w:rPr>
                <w:rFonts w:ascii="宋体" w:hAnsi="宋体" w:eastAsia="宋体" w:cs="宋体"/>
                <w:color w:val="000000"/>
                <w:sz w:val="16"/>
                <w:szCs w:val="16"/>
              </w:rPr>
            </w:pPr>
          </w:p>
        </w:tc>
        <w:tc>
          <w:tcPr>
            <w:tcW w:w="314" w:type="dxa"/>
            <w:vAlign w:val="center"/>
          </w:tcPr>
          <w:p>
            <w:pPr>
              <w:rPr>
                <w:rFonts w:ascii="宋体" w:hAnsi="宋体" w:eastAsia="宋体" w:cs="宋体"/>
                <w:color w:val="000000"/>
                <w:sz w:val="16"/>
                <w:szCs w:val="16"/>
              </w:rPr>
            </w:pPr>
          </w:p>
        </w:tc>
        <w:tc>
          <w:tcPr>
            <w:tcW w:w="993" w:type="dxa"/>
            <w:gridSpan w:val="3"/>
            <w:vAlign w:val="center"/>
          </w:tcPr>
          <w:p>
            <w:pPr>
              <w:jc w:val="right"/>
              <w:rPr>
                <w:rFonts w:ascii="宋体" w:hAnsi="宋体" w:eastAsia="宋体" w:cs="宋体"/>
                <w:color w:val="000000"/>
                <w:sz w:val="16"/>
                <w:szCs w:val="16"/>
              </w:rPr>
            </w:pPr>
          </w:p>
        </w:tc>
        <w:tc>
          <w:tcPr>
            <w:tcW w:w="992" w:type="dxa"/>
            <w:vAlign w:val="center"/>
          </w:tcPr>
          <w:p>
            <w:pPr>
              <w:jc w:val="right"/>
              <w:rPr>
                <w:rFonts w:ascii="宋体" w:hAnsi="宋体" w:eastAsia="宋体" w:cs="宋体"/>
                <w:color w:val="000000"/>
                <w:sz w:val="16"/>
                <w:szCs w:val="16"/>
              </w:rPr>
            </w:pPr>
          </w:p>
        </w:tc>
        <w:tc>
          <w:tcPr>
            <w:tcW w:w="2643"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2" w:hRule="atLeast"/>
        </w:trPr>
        <w:tc>
          <w:tcPr>
            <w:tcW w:w="3995"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收　　入</w:t>
            </w:r>
          </w:p>
        </w:tc>
        <w:tc>
          <w:tcPr>
            <w:tcW w:w="636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金额</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行次</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一般公共预算财政拨款</w:t>
            </w: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24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s="宋体"/>
                <w:b/>
                <w:color w:val="000000"/>
                <w:sz w:val="16"/>
                <w:szCs w:val="16"/>
              </w:rPr>
            </w:pP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    次</w:t>
            </w:r>
          </w:p>
        </w:tc>
        <w:tc>
          <w:tcPr>
            <w:tcW w:w="4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cs="宋体"/>
                <w:b/>
                <w:color w:val="000000"/>
                <w:sz w:val="16"/>
                <w:szCs w:val="16"/>
              </w:rPr>
            </w:pP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一、一般公共预算财政拨款</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一、一般公共服务支出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904.82</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r>
              <w:rPr>
                <w:rFonts w:ascii="宋体" w:hAnsi="宋体" w:eastAsia="宋体" w:cs="宋体"/>
                <w:color w:val="000000"/>
                <w:kern w:val="0"/>
                <w:sz w:val="16"/>
                <w:szCs w:val="16"/>
              </w:rPr>
              <w:t>904.82</w:t>
            </w: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二、政府性基金预算财政拨款</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二、外交支出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32</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三、国防支出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33</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四、公共安全支出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34</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五、教育支出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35</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六、科学技术支出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36</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7</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七、文化体育与传媒支出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37</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八、社会保障和就业支出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38</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300" w:lineRule="exact"/>
              <w:jc w:val="right"/>
              <w:textAlignment w:val="center"/>
              <w:rPr>
                <w:rFonts w:ascii="宋体" w:hAnsi="宋体" w:eastAsia="宋体" w:cs="宋体"/>
                <w:color w:val="000000"/>
                <w:sz w:val="16"/>
                <w:szCs w:val="16"/>
              </w:rPr>
            </w:pPr>
            <w:r>
              <w:rPr>
                <w:rFonts w:hint="eastAsia" w:ascii="宋体" w:hAnsi="宋体" w:cs="宋体"/>
                <w:color w:val="000000"/>
                <w:kern w:val="0"/>
                <w:sz w:val="16"/>
                <w:szCs w:val="16"/>
                <w:lang w:val="en-US" w:eastAsia="zh-CN"/>
              </w:rPr>
              <w:t>23.12</w:t>
            </w:r>
            <w:r>
              <w:rPr>
                <w:rFonts w:ascii="宋体" w:hAnsi="宋体" w:eastAsia="宋体" w:cs="宋体"/>
                <w:color w:val="000000"/>
                <w:kern w:val="0"/>
                <w:sz w:val="16"/>
                <w:szCs w:val="16"/>
              </w:rPr>
              <w:t xml:space="preserve"> </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23.12</w:t>
            </w: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九、医疗卫生与计划生育支出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宋体" w:hAnsi="宋体" w:eastAsia="宋体" w:cs="宋体"/>
                <w:color w:val="000000"/>
                <w:sz w:val="16"/>
                <w:szCs w:val="16"/>
                <w:lang w:val="en-US" w:eastAsia="zh-CN"/>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十、节能环保支出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40</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十一、城乡社区支出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41</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十二、农林水支出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42</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13</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十三、交通运输支出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43</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14</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十四、资源勘探信息等支出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44</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15</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十五、商业服务业等支出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45</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16</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十六、金融支出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46</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17</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十七、援助其他地区支出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47</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18</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十八、国土海洋气象等支出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48</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19</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十九、住房保障支出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49</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20</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二十、粮油物资储备支出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50</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21</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二十一、其他支出</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51</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22</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300" w:lineRule="exact"/>
              <w:jc w:val="right"/>
              <w:textAlignment w:val="center"/>
              <w:rPr>
                <w:rFonts w:ascii="宋体" w:hAnsi="宋体" w:eastAsia="宋体" w:cs="宋体"/>
                <w:color w:val="000000"/>
                <w:sz w:val="16"/>
                <w:szCs w:val="16"/>
              </w:rPr>
            </w:pPr>
            <w:r>
              <w:rPr>
                <w:rFonts w:hint="eastAsia" w:ascii="宋体" w:hAnsi="宋体" w:eastAsia="宋体" w:cs="宋体"/>
                <w:color w:val="000000"/>
                <w:sz w:val="16"/>
                <w:szCs w:val="16"/>
              </w:rPr>
              <w:t xml:space="preserve"> </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52</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23</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53</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24</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54</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本年收入合计</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25</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55</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kern w:val="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kern w:val="0"/>
                <w:sz w:val="16"/>
                <w:szCs w:val="16"/>
              </w:rPr>
            </w:pP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kern w:val="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b/>
                <w:color w:val="000000"/>
                <w:kern w:val="0"/>
                <w:sz w:val="16"/>
                <w:szCs w:val="16"/>
              </w:rPr>
            </w:pP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300" w:lineRule="exact"/>
              <w:jc w:val="right"/>
              <w:textAlignment w:val="center"/>
              <w:rPr>
                <w:rFonts w:ascii="宋体" w:hAnsi="宋体" w:eastAsia="宋体" w:cs="宋体"/>
                <w:b/>
                <w:color w:val="000000"/>
                <w:kern w:val="0"/>
                <w:sz w:val="16"/>
                <w:szCs w:val="16"/>
              </w:rPr>
            </w:pPr>
            <w:r>
              <w:rPr>
                <w:rFonts w:ascii="宋体" w:hAnsi="宋体" w:eastAsia="宋体" w:cs="宋体"/>
                <w:b/>
                <w:color w:val="000000"/>
                <w:kern w:val="0"/>
                <w:sz w:val="16"/>
                <w:szCs w:val="16"/>
              </w:rPr>
              <w:t xml:space="preserve"> </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b/>
                <w:color w:val="000000"/>
                <w:kern w:val="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b/>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年初财政拨款结转和结余</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26</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年末财政拨款结转和结余</w:t>
            </w: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56</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一般公共预算财政拨款</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27</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57</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widowControl/>
              <w:spacing w:line="30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政府性基金预算财政拨款</w:t>
            </w: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28</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58</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right"/>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spacing w:line="300" w:lineRule="exact"/>
              <w:jc w:val="right"/>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0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29</w:t>
            </w:r>
          </w:p>
        </w:tc>
        <w:tc>
          <w:tcPr>
            <w:tcW w:w="1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2072"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s="宋体"/>
                <w:color w:val="000000"/>
                <w:sz w:val="16"/>
                <w:szCs w:val="16"/>
              </w:rPr>
            </w:pPr>
          </w:p>
        </w:tc>
        <w:tc>
          <w:tcPr>
            <w:tcW w:w="4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59</w:t>
            </w:r>
          </w:p>
        </w:tc>
        <w:tc>
          <w:tcPr>
            <w:tcW w:w="129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right"/>
              <w:textAlignment w:val="center"/>
              <w:rPr>
                <w:rFonts w:ascii="宋体" w:hAnsi="宋体" w:eastAsia="宋体" w:cs="宋体"/>
                <w:color w:val="000000"/>
                <w:sz w:val="16"/>
                <w:szCs w:val="16"/>
              </w:rPr>
            </w:pPr>
          </w:p>
        </w:tc>
        <w:tc>
          <w:tcPr>
            <w:tcW w:w="1292" w:type="dxa"/>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2132" w:type="dxa"/>
            <w:tcBorders>
              <w:top w:val="single" w:color="000000" w:sz="4" w:space="0"/>
              <w:left w:val="single" w:color="000000" w:sz="12" w:space="0"/>
              <w:bottom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02"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30</w:t>
            </w:r>
          </w:p>
        </w:tc>
        <w:tc>
          <w:tcPr>
            <w:tcW w:w="1461"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right"/>
              <w:textAlignment w:val="center"/>
              <w:rPr>
                <w:rFonts w:ascii="宋体" w:hAnsi="宋体" w:eastAsia="宋体" w:cs="宋体"/>
                <w:b/>
                <w:color w:val="000000"/>
                <w:sz w:val="16"/>
                <w:szCs w:val="16"/>
              </w:rPr>
            </w:pPr>
            <w:r>
              <w:rPr>
                <w:rFonts w:ascii="宋体" w:hAnsi="宋体" w:eastAsia="宋体" w:cs="宋体"/>
                <w:color w:val="000000"/>
                <w:sz w:val="16"/>
                <w:szCs w:val="16"/>
              </w:rPr>
              <w:t>9</w:t>
            </w:r>
            <w:r>
              <w:rPr>
                <w:rFonts w:hint="eastAsia" w:ascii="宋体" w:hAnsi="宋体" w:cs="宋体"/>
                <w:color w:val="000000"/>
                <w:sz w:val="16"/>
                <w:szCs w:val="16"/>
                <w:lang w:val="en-US" w:eastAsia="zh-CN"/>
              </w:rPr>
              <w:t>27.94</w:t>
            </w:r>
          </w:p>
        </w:tc>
        <w:tc>
          <w:tcPr>
            <w:tcW w:w="2072"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总计</w:t>
            </w:r>
          </w:p>
        </w:tc>
        <w:tc>
          <w:tcPr>
            <w:tcW w:w="417" w:type="dxa"/>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60</w:t>
            </w:r>
          </w:p>
        </w:tc>
        <w:tc>
          <w:tcPr>
            <w:tcW w:w="1292" w:type="dxa"/>
            <w:gridSpan w:val="3"/>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kern w:val="0"/>
                <w:sz w:val="16"/>
                <w:szCs w:val="16"/>
                <w:lang w:val="en-US" w:eastAsia="zh-CN"/>
              </w:rPr>
              <w:t>927.94</w:t>
            </w:r>
          </w:p>
        </w:tc>
        <w:tc>
          <w:tcPr>
            <w:tcW w:w="1292" w:type="dxa"/>
            <w:tcBorders>
              <w:top w:val="single" w:color="000000" w:sz="4" w:space="0"/>
              <w:left w:val="single" w:color="000000" w:sz="4" w:space="0"/>
              <w:bottom w:val="single" w:color="000000" w:sz="12" w:space="0"/>
              <w:right w:val="single" w:color="000000" w:sz="4" w:space="0"/>
            </w:tcBorders>
            <w:vAlign w:val="center"/>
          </w:tcPr>
          <w:p>
            <w:pPr>
              <w:widowControl/>
              <w:spacing w:line="300" w:lineRule="exact"/>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1292" w:type="dxa"/>
            <w:tcBorders>
              <w:top w:val="single" w:color="000000" w:sz="4" w:space="0"/>
              <w:left w:val="single" w:color="000000" w:sz="4" w:space="0"/>
              <w:bottom w:val="single" w:color="000000" w:sz="12" w:space="0"/>
              <w:right w:val="single" w:color="000000" w:sz="12" w:space="0"/>
            </w:tcBorders>
            <w:vAlign w:val="center"/>
          </w:tcPr>
          <w:p>
            <w:pPr>
              <w:widowControl/>
              <w:spacing w:line="300" w:lineRule="exact"/>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360" w:type="dxa"/>
            <w:gridSpan w:val="14"/>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注：本表反映部门本年度一般公共预算财政拨款和政府性基金预算财政拨款的总收支和年末结转结余情况。             </w:t>
            </w:r>
          </w:p>
        </w:tc>
      </w:tr>
    </w:tbl>
    <w:p>
      <w:pPr>
        <w:spacing w:line="360" w:lineRule="auto"/>
        <w:jc w:val="center"/>
        <w:rPr>
          <w:rFonts w:ascii="隶书" w:hAnsi="隶书" w:eastAsia="隶书" w:cs="隶书"/>
          <w:sz w:val="52"/>
          <w:szCs w:val="52"/>
        </w:rPr>
      </w:pPr>
      <w:r>
        <w:rPr>
          <w:rFonts w:hint="eastAsia" w:ascii="隶书" w:hAnsi="隶书" w:eastAsia="隶书" w:cs="隶书"/>
          <w:sz w:val="52"/>
          <w:szCs w:val="52"/>
        </w:rPr>
        <w:br w:type="page"/>
      </w:r>
    </w:p>
    <w:tbl>
      <w:tblPr>
        <w:tblStyle w:val="6"/>
        <w:tblW w:w="1044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hAnsi="宋体" w:eastAsia="宋体" w:cs="宋体"/>
                <w:color w:val="000000"/>
                <w:sz w:val="16"/>
                <w:szCs w:val="16"/>
              </w:rPr>
            </w:pPr>
          </w:p>
        </w:tc>
        <w:tc>
          <w:tcPr>
            <w:tcW w:w="1800" w:type="dxa"/>
            <w:vAlign w:val="center"/>
          </w:tcPr>
          <w:p>
            <w:pPr>
              <w:rPr>
                <w:rFonts w:ascii="宋体" w:hAnsi="宋体" w:eastAsia="宋体" w:cs="宋体"/>
                <w:color w:val="000000"/>
                <w:sz w:val="16"/>
                <w:szCs w:val="16"/>
              </w:rPr>
            </w:pPr>
          </w:p>
        </w:tc>
        <w:tc>
          <w:tcPr>
            <w:tcW w:w="2325" w:type="dxa"/>
            <w:gridSpan w:val="2"/>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hAnsi="宋体" w:eastAsia="宋体" w:cs="宋体"/>
                <w:color w:val="000000"/>
                <w:sz w:val="16"/>
                <w:szCs w:val="16"/>
              </w:rPr>
            </w:pPr>
            <w:r>
              <w:rPr>
                <w:rFonts w:hint="eastAsia" w:ascii="宋体" w:hAnsi="宋体" w:eastAsia="宋体" w:cs="宋体"/>
                <w:color w:val="000000"/>
                <w:sz w:val="16"/>
                <w:szCs w:val="16"/>
              </w:rPr>
              <w:t>部门；</w:t>
            </w:r>
          </w:p>
        </w:tc>
        <w:tc>
          <w:tcPr>
            <w:tcW w:w="1800" w:type="dxa"/>
            <w:vAlign w:val="center"/>
          </w:tcPr>
          <w:p>
            <w:pPr>
              <w:rPr>
                <w:rFonts w:ascii="宋体" w:hAnsi="宋体" w:eastAsia="宋体" w:cs="宋体"/>
                <w:color w:val="000000"/>
                <w:sz w:val="16"/>
                <w:szCs w:val="16"/>
              </w:rPr>
            </w:pPr>
          </w:p>
        </w:tc>
        <w:tc>
          <w:tcPr>
            <w:tcW w:w="2325" w:type="dxa"/>
            <w:gridSpan w:val="2"/>
            <w:vAlign w:val="center"/>
          </w:tcPr>
          <w:p>
            <w:pPr>
              <w:rPr>
                <w:rFonts w:ascii="宋体" w:hAnsi="宋体" w:eastAsia="宋体" w:cs="宋体"/>
                <w:color w:val="000000"/>
                <w:sz w:val="16"/>
                <w:szCs w:val="16"/>
              </w:rPr>
            </w:pPr>
          </w:p>
        </w:tc>
        <w:tc>
          <w:tcPr>
            <w:tcW w:w="1575" w:type="dxa"/>
            <w:vAlign w:val="center"/>
          </w:tcPr>
          <w:p>
            <w:pPr>
              <w:rPr>
                <w:rFonts w:ascii="宋体" w:hAnsi="宋体" w:eastAsia="宋体" w:cs="宋体"/>
                <w:color w:val="000000"/>
                <w:sz w:val="16"/>
                <w:szCs w:val="16"/>
              </w:rPr>
            </w:pPr>
          </w:p>
        </w:tc>
        <w:tc>
          <w:tcPr>
            <w:tcW w:w="2849" w:type="dxa"/>
            <w:gridSpan w:val="2"/>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color w:val="000000"/>
                <w:sz w:val="16"/>
                <w:szCs w:val="16"/>
                <w:lang w:val="en-US" w:eastAsia="zh-CN"/>
              </w:rPr>
            </w:pPr>
            <w:r>
              <w:rPr>
                <w:rFonts w:hint="eastAsia" w:ascii="宋体" w:hAnsi="宋体" w:cs="宋体"/>
                <w:b/>
                <w:color w:val="000000"/>
                <w:sz w:val="16"/>
                <w:szCs w:val="16"/>
                <w:lang w:val="en-US" w:eastAsia="zh-CN"/>
              </w:rPr>
              <w:t>927.94</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tabs>
                <w:tab w:val="left" w:pos="453"/>
              </w:tabs>
              <w:jc w:val="right"/>
              <w:rPr>
                <w:rFonts w:ascii="宋体" w:hAnsi="宋体" w:eastAsia="宋体" w:cs="宋体"/>
                <w:b/>
                <w:color w:val="000000"/>
                <w:sz w:val="16"/>
                <w:szCs w:val="16"/>
              </w:rPr>
            </w:pPr>
            <w:r>
              <w:rPr>
                <w:rFonts w:hint="eastAsia" w:ascii="宋体" w:hAnsi="宋体" w:eastAsia="宋体" w:cs="宋体"/>
                <w:b/>
                <w:color w:val="000000"/>
                <w:sz w:val="16"/>
                <w:szCs w:val="16"/>
              </w:rPr>
              <w:tab/>
            </w:r>
            <w:r>
              <w:rPr>
                <w:rFonts w:ascii="宋体" w:hAnsi="宋体" w:eastAsia="宋体" w:cs="宋体"/>
                <w:b/>
                <w:color w:val="000000"/>
                <w:sz w:val="16"/>
                <w:szCs w:val="16"/>
              </w:rPr>
              <w:t>904.82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16"/>
                <w:szCs w:val="16"/>
              </w:rPr>
            </w:pPr>
            <w:r>
              <w:rPr>
                <w:rFonts w:ascii="宋体" w:hAnsi="宋体" w:eastAsia="宋体" w:cs="宋体"/>
                <w:b/>
                <w:color w:val="000000"/>
                <w:sz w:val="16"/>
                <w:szCs w:val="16"/>
              </w:rPr>
              <w:t>904.82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20131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eastAsia="zh-CN"/>
              </w:rPr>
              <w:t>党委办公厅（室）及相关机构事务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2013101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eastAsia="zh-CN"/>
              </w:rPr>
              <w:t>行政运行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904.82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行政事业单位离退休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cs="宋体"/>
                <w:color w:val="000000"/>
                <w:sz w:val="16"/>
                <w:szCs w:val="16"/>
                <w:lang w:val="en-US" w:eastAsia="zh-CN"/>
              </w:rPr>
              <w:t>2080501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cs="宋体"/>
                <w:color w:val="000000"/>
                <w:kern w:val="0"/>
                <w:sz w:val="16"/>
                <w:szCs w:val="16"/>
                <w:lang w:eastAsia="zh-CN"/>
              </w:rPr>
              <w:t>归口管理的行政单位离退休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16"/>
                <w:szCs w:val="16"/>
              </w:rPr>
            </w:pPr>
            <w:r>
              <w:rPr>
                <w:rFonts w:hint="eastAsia" w:ascii="宋体" w:hAnsi="宋体" w:cs="宋体"/>
                <w:color w:val="000000"/>
                <w:sz w:val="16"/>
                <w:szCs w:val="16"/>
                <w:lang w:val="en-US" w:eastAsia="zh-CN"/>
              </w:rPr>
              <w:t>23.12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ascii="宋体" w:hAnsi="宋体" w:eastAsia="宋体" w:cs="宋体"/>
                <w:color w:val="000000"/>
                <w:kern w:val="0"/>
                <w:sz w:val="16"/>
                <w:szCs w:val="16"/>
              </w:rPr>
              <w:t xml:space="preserve"> </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注：本表反映部门本年度一般公共预算财政拨款实际支出情况。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p>
      <w:pPr>
        <w:tabs>
          <w:tab w:val="left" w:pos="814"/>
          <w:tab w:val="center" w:pos="6979"/>
        </w:tabs>
        <w:spacing w:line="360" w:lineRule="auto"/>
        <w:jc w:val="left"/>
        <w:rPr>
          <w:rFonts w:ascii="隶书" w:hAnsi="隶书" w:eastAsia="隶书" w:cs="隶书"/>
          <w:sz w:val="52"/>
          <w:szCs w:val="52"/>
        </w:rPr>
      </w:pPr>
      <w:r>
        <w:rPr>
          <w:rFonts w:ascii="隶书" w:hAnsi="隶书" w:eastAsia="隶书" w:cs="隶书"/>
          <w:sz w:val="52"/>
          <w:szCs w:val="52"/>
        </w:rPr>
        <w:tab/>
      </w:r>
    </w:p>
    <w:tbl>
      <w:tblPr>
        <w:tblStyle w:val="6"/>
        <w:tblW w:w="13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1"/>
        <w:gridCol w:w="2656"/>
        <w:gridCol w:w="1301"/>
        <w:gridCol w:w="601"/>
        <w:gridCol w:w="2657"/>
        <w:gridCol w:w="1301"/>
        <w:gridCol w:w="601"/>
        <w:gridCol w:w="2657"/>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982" w:type="dxa"/>
            <w:gridSpan w:val="9"/>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vAlign w:val="center"/>
          </w:tcPr>
          <w:p>
            <w:pPr>
              <w:jc w:val="left"/>
              <w:rPr>
                <w:rFonts w:ascii="宋体" w:hAnsi="宋体" w:eastAsia="宋体" w:cs="宋体"/>
                <w:color w:val="000000"/>
                <w:sz w:val="18"/>
                <w:szCs w:val="18"/>
              </w:rPr>
            </w:pPr>
          </w:p>
        </w:tc>
        <w:tc>
          <w:tcPr>
            <w:tcW w:w="2656" w:type="dxa"/>
            <w:vAlign w:val="center"/>
          </w:tcPr>
          <w:p>
            <w:pPr>
              <w:jc w:val="left"/>
              <w:rPr>
                <w:rFonts w:ascii="宋体" w:hAnsi="宋体" w:eastAsia="宋体" w:cs="宋体"/>
                <w:color w:val="000000"/>
                <w:sz w:val="18"/>
                <w:szCs w:val="18"/>
              </w:rPr>
            </w:pPr>
          </w:p>
        </w:tc>
        <w:tc>
          <w:tcPr>
            <w:tcW w:w="1301" w:type="dxa"/>
            <w:vAlign w:val="center"/>
          </w:tcPr>
          <w:p>
            <w:pPr>
              <w:jc w:val="left"/>
              <w:rPr>
                <w:rFonts w:ascii="宋体" w:hAnsi="宋体" w:eastAsia="宋体" w:cs="宋体"/>
                <w:color w:val="000000"/>
                <w:sz w:val="18"/>
                <w:szCs w:val="18"/>
              </w:rPr>
            </w:pPr>
          </w:p>
        </w:tc>
        <w:tc>
          <w:tcPr>
            <w:tcW w:w="601" w:type="dxa"/>
            <w:vAlign w:val="center"/>
          </w:tcPr>
          <w:p>
            <w:pPr>
              <w:jc w:val="left"/>
              <w:rPr>
                <w:rFonts w:ascii="宋体" w:hAnsi="宋体" w:eastAsia="宋体" w:cs="宋体"/>
                <w:color w:val="000000"/>
                <w:sz w:val="18"/>
                <w:szCs w:val="18"/>
              </w:rPr>
            </w:pPr>
          </w:p>
        </w:tc>
        <w:tc>
          <w:tcPr>
            <w:tcW w:w="2657" w:type="dxa"/>
            <w:vAlign w:val="center"/>
          </w:tcPr>
          <w:p>
            <w:pPr>
              <w:jc w:val="left"/>
              <w:rPr>
                <w:rFonts w:ascii="宋体" w:hAnsi="宋体" w:eastAsia="宋体" w:cs="宋体"/>
                <w:color w:val="000000"/>
                <w:sz w:val="18"/>
                <w:szCs w:val="18"/>
              </w:rPr>
            </w:pPr>
          </w:p>
        </w:tc>
        <w:tc>
          <w:tcPr>
            <w:tcW w:w="1301" w:type="dxa"/>
            <w:vAlign w:val="center"/>
          </w:tcPr>
          <w:p>
            <w:pPr>
              <w:jc w:val="left"/>
              <w:rPr>
                <w:rFonts w:ascii="宋体" w:hAnsi="宋体" w:eastAsia="宋体" w:cs="宋体"/>
                <w:color w:val="000000"/>
                <w:sz w:val="18"/>
                <w:szCs w:val="18"/>
              </w:rPr>
            </w:pPr>
          </w:p>
        </w:tc>
        <w:tc>
          <w:tcPr>
            <w:tcW w:w="601" w:type="dxa"/>
            <w:vAlign w:val="center"/>
          </w:tcPr>
          <w:p>
            <w:pPr>
              <w:jc w:val="left"/>
              <w:rPr>
                <w:rFonts w:ascii="宋体" w:hAnsi="宋体" w:eastAsia="宋体" w:cs="宋体"/>
                <w:color w:val="000000"/>
                <w:sz w:val="18"/>
                <w:szCs w:val="18"/>
              </w:rPr>
            </w:pPr>
          </w:p>
        </w:tc>
        <w:tc>
          <w:tcPr>
            <w:tcW w:w="2657" w:type="dxa"/>
            <w:vAlign w:val="center"/>
          </w:tcPr>
          <w:p>
            <w:pPr>
              <w:jc w:val="left"/>
              <w:rPr>
                <w:rFonts w:ascii="宋体" w:hAnsi="宋体" w:eastAsia="宋体" w:cs="宋体"/>
                <w:color w:val="000000"/>
                <w:sz w:val="18"/>
                <w:szCs w:val="18"/>
              </w:rPr>
            </w:pPr>
          </w:p>
        </w:tc>
        <w:tc>
          <w:tcPr>
            <w:tcW w:w="1607" w:type="dxa"/>
            <w:tcBorders>
              <w:right w:val="nil"/>
            </w:tcBorders>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59" w:type="dxa"/>
            <w:gridSpan w:val="4"/>
            <w:tcBorders>
              <w:bottom w:val="single" w:color="auto" w:sz="4" w:space="0"/>
            </w:tcBorders>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22"/>
                <w:szCs w:val="22"/>
              </w:rPr>
              <w:t>部门：</w:t>
            </w:r>
          </w:p>
        </w:tc>
        <w:tc>
          <w:tcPr>
            <w:tcW w:w="2657" w:type="dxa"/>
            <w:tcBorders>
              <w:bottom w:val="single" w:color="auto" w:sz="4" w:space="0"/>
            </w:tcBorders>
            <w:vAlign w:val="center"/>
          </w:tcPr>
          <w:p>
            <w:pPr>
              <w:jc w:val="center"/>
              <w:rPr>
                <w:rFonts w:ascii="宋体" w:hAnsi="宋体" w:eastAsia="宋体" w:cs="宋体"/>
                <w:color w:val="000000"/>
                <w:sz w:val="22"/>
                <w:szCs w:val="22"/>
              </w:rPr>
            </w:pPr>
          </w:p>
        </w:tc>
        <w:tc>
          <w:tcPr>
            <w:tcW w:w="1301" w:type="dxa"/>
            <w:tcBorders>
              <w:bottom w:val="single" w:color="auto" w:sz="4" w:space="0"/>
            </w:tcBorders>
            <w:vAlign w:val="center"/>
          </w:tcPr>
          <w:p>
            <w:pPr>
              <w:jc w:val="left"/>
              <w:rPr>
                <w:rFonts w:ascii="宋体" w:hAnsi="宋体" w:eastAsia="宋体" w:cs="宋体"/>
                <w:color w:val="000000"/>
                <w:sz w:val="18"/>
                <w:szCs w:val="18"/>
              </w:rPr>
            </w:pPr>
          </w:p>
        </w:tc>
        <w:tc>
          <w:tcPr>
            <w:tcW w:w="601" w:type="dxa"/>
            <w:tcBorders>
              <w:bottom w:val="single" w:color="auto" w:sz="4" w:space="0"/>
            </w:tcBorders>
            <w:vAlign w:val="center"/>
          </w:tcPr>
          <w:p>
            <w:pPr>
              <w:jc w:val="left"/>
              <w:rPr>
                <w:rFonts w:ascii="宋体" w:hAnsi="宋体" w:eastAsia="宋体" w:cs="宋体"/>
                <w:color w:val="000000"/>
                <w:sz w:val="18"/>
                <w:szCs w:val="18"/>
              </w:rPr>
            </w:pPr>
          </w:p>
        </w:tc>
        <w:tc>
          <w:tcPr>
            <w:tcW w:w="2657" w:type="dxa"/>
            <w:tcBorders>
              <w:bottom w:val="single" w:color="auto" w:sz="4" w:space="0"/>
            </w:tcBorders>
            <w:vAlign w:val="center"/>
          </w:tcPr>
          <w:p>
            <w:pPr>
              <w:jc w:val="left"/>
              <w:rPr>
                <w:rFonts w:ascii="宋体" w:hAnsi="宋体" w:eastAsia="宋体" w:cs="宋体"/>
                <w:color w:val="000000"/>
                <w:sz w:val="18"/>
                <w:szCs w:val="18"/>
              </w:rPr>
            </w:pPr>
          </w:p>
        </w:tc>
        <w:tc>
          <w:tcPr>
            <w:tcW w:w="1607" w:type="dxa"/>
            <w:tcBorders>
              <w:bottom w:val="single" w:color="auto" w:sz="4" w:space="0"/>
              <w:right w:val="nil"/>
            </w:tcBorders>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55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w:t>
            </w:r>
          </w:p>
        </w:tc>
        <w:tc>
          <w:tcPr>
            <w:tcW w:w="942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6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经济分类科目编码</w:t>
            </w:r>
          </w:p>
        </w:tc>
        <w:tc>
          <w:tcPr>
            <w:tcW w:w="265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60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2656"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c>
          <w:tcPr>
            <w:tcW w:w="1607" w:type="dxa"/>
            <w:vMerge w:val="continue"/>
            <w:tcBorders>
              <w:top w:val="single" w:color="auto" w:sz="4" w:space="0"/>
              <w:bottom w:val="single" w:color="auto" w:sz="4" w:space="0"/>
              <w:right w:val="single" w:color="000000" w:sz="4" w:space="0"/>
            </w:tcBorders>
            <w:vAlign w:val="center"/>
          </w:tcPr>
          <w:p>
            <w:pPr>
              <w:jc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656"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1301" w:type="dxa"/>
            <w:tcBorders>
              <w:top w:val="single" w:color="auto" w:sz="4" w:space="0"/>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441.6</w:t>
            </w:r>
            <w:r>
              <w:rPr>
                <w:rFonts w:hint="eastAsia" w:ascii="宋体" w:hAnsi="宋体" w:cs="宋体"/>
                <w:color w:val="000000"/>
                <w:sz w:val="20"/>
                <w:szCs w:val="20"/>
                <w:lang w:val="en-US" w:eastAsia="zh-CN"/>
              </w:rPr>
              <w:t>5</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1301" w:type="dxa"/>
            <w:tcBorders>
              <w:top w:val="single" w:color="auto" w:sz="4" w:space="0"/>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381.</w:t>
            </w:r>
            <w:r>
              <w:rPr>
                <w:rFonts w:hint="eastAsia" w:ascii="宋体" w:hAnsi="宋体" w:cs="宋体"/>
                <w:color w:val="000000"/>
                <w:sz w:val="20"/>
                <w:szCs w:val="20"/>
                <w:lang w:val="en-US" w:eastAsia="zh-CN"/>
              </w:rPr>
              <w:t>31</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其他资本性支出</w:t>
            </w:r>
          </w:p>
        </w:tc>
        <w:tc>
          <w:tcPr>
            <w:tcW w:w="1607" w:type="dxa"/>
            <w:tcBorders>
              <w:top w:val="single" w:color="auto" w:sz="4" w:space="0"/>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81.8</w:t>
            </w:r>
            <w:r>
              <w:rPr>
                <w:rFonts w:hint="eastAsia" w:ascii="宋体" w:hAnsi="宋体" w:cs="宋体"/>
                <w:color w:val="000000"/>
                <w:sz w:val="20"/>
                <w:szCs w:val="2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253.44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95.</w:t>
            </w:r>
            <w:r>
              <w:rPr>
                <w:rFonts w:hint="eastAsia" w:ascii="宋体" w:hAnsi="宋体" w:cs="宋体"/>
                <w:color w:val="000000"/>
                <w:sz w:val="20"/>
                <w:szCs w:val="20"/>
                <w:lang w:val="en-US" w:eastAsia="zh-CN"/>
              </w:rPr>
              <w:t>2</w:t>
            </w:r>
            <w:r>
              <w:rPr>
                <w:rFonts w:hint="eastAsia" w:ascii="宋体" w:hAnsi="宋体" w:eastAsia="宋体" w:cs="宋体"/>
                <w:color w:val="000000"/>
                <w:sz w:val="20"/>
                <w:szCs w:val="20"/>
              </w:rPr>
              <w:t>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188.</w:t>
            </w:r>
            <w:r>
              <w:rPr>
                <w:rFonts w:hint="eastAsia" w:ascii="宋体" w:hAnsi="宋体" w:cs="宋体"/>
                <w:color w:val="000000"/>
                <w:sz w:val="20"/>
                <w:szCs w:val="20"/>
                <w:lang w:val="en-US" w:eastAsia="zh-CN"/>
              </w:rPr>
              <w:t>21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115.8</w:t>
            </w:r>
            <w:r>
              <w:rPr>
                <w:rFonts w:hint="eastAsia" w:ascii="宋体" w:hAnsi="宋体" w:cs="宋体"/>
                <w:color w:val="000000"/>
                <w:sz w:val="20"/>
                <w:szCs w:val="20"/>
                <w:lang w:val="en-US" w:eastAsia="zh-CN"/>
              </w:rPr>
              <w:t>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25.0</w:t>
            </w:r>
            <w:r>
              <w:rPr>
                <w:rFonts w:hint="eastAsia" w:ascii="宋体" w:hAnsi="宋体" w:cs="宋体"/>
                <w:color w:val="000000"/>
                <w:sz w:val="20"/>
                <w:szCs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1.09</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17.04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8.3</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1301" w:type="dxa"/>
            <w:tcBorders>
              <w:bottom w:val="single" w:color="000000" w:sz="4" w:space="0"/>
              <w:right w:val="single" w:color="000000" w:sz="4" w:space="0"/>
            </w:tcBorders>
            <w:vAlign w:val="center"/>
          </w:tcPr>
          <w:p>
            <w:pPr>
              <w:jc w:val="right"/>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23.12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38.7</w:t>
            </w:r>
            <w:r>
              <w:rPr>
                <w:rFonts w:hint="eastAsia" w:ascii="宋体" w:hAnsi="宋体" w:cs="宋体"/>
                <w:color w:val="000000"/>
                <w:sz w:val="20"/>
                <w:szCs w:val="20"/>
                <w:lang w:val="en-US" w:eastAsia="zh-CN"/>
              </w:rPr>
              <w:t>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14.920</w:t>
            </w:r>
            <w:r>
              <w:rPr>
                <w:rFonts w:hint="eastAsia" w:ascii="宋体" w:hAnsi="宋体" w:eastAsia="宋体" w:cs="宋体"/>
                <w:color w:val="000000"/>
                <w:kern w:val="0"/>
                <w:sz w:val="20"/>
                <w:szCs w:val="20"/>
              </w:rPr>
              <w:t>31011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1301" w:type="dxa"/>
            <w:tcBorders>
              <w:bottom w:val="single" w:color="000000" w:sz="4" w:space="0"/>
              <w:right w:val="single" w:color="000000" w:sz="4" w:space="0"/>
            </w:tcBorders>
            <w:vAlign w:val="center"/>
          </w:tcPr>
          <w:p>
            <w:pPr>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23.12</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16.45</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1.20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2.1</w:t>
            </w:r>
            <w:r>
              <w:rPr>
                <w:rFonts w:hint="eastAsia" w:ascii="宋体" w:hAnsi="宋体" w:cs="宋体"/>
                <w:color w:val="000000"/>
                <w:sz w:val="20"/>
                <w:szCs w:val="20"/>
                <w:lang w:val="en-US" w:eastAsia="zh-CN"/>
              </w:rPr>
              <w:t>6</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产权参股</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3.07</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3.0</w:t>
            </w:r>
            <w:r>
              <w:rPr>
                <w:rFonts w:hint="eastAsia" w:ascii="宋体" w:hAnsi="宋体" w:cs="宋体"/>
                <w:color w:val="000000"/>
                <w:sz w:val="20"/>
                <w:szCs w:val="20"/>
                <w:lang w:val="en-US" w:eastAsia="zh-CN"/>
              </w:rPr>
              <w:t>1</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对企事业单位的补贴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企业政策性补贴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30402</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事业单位补贴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30403</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财政贴息</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生产补贴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其他对企事业单位的补贴</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债务利息支出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30312</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提租补贴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30313</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购房补贴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1301" w:type="dxa"/>
            <w:tcBorders>
              <w:bottom w:val="single" w:color="000000" w:sz="4" w:space="0"/>
              <w:right w:val="single" w:color="000000" w:sz="4" w:space="0"/>
            </w:tcBorders>
            <w:vAlign w:val="center"/>
          </w:tcPr>
          <w:p>
            <w:pPr>
              <w:wordWrap w:val="0"/>
              <w:jc w:val="right"/>
              <w:rPr>
                <w:rFonts w:ascii="宋体" w:hAnsi="宋体" w:eastAsia="宋体" w:cs="宋体"/>
                <w:color w:val="000000"/>
                <w:sz w:val="20"/>
                <w:szCs w:val="20"/>
              </w:rPr>
            </w:pPr>
            <w:r>
              <w:rPr>
                <w:rFonts w:ascii="宋体" w:hAnsi="宋体" w:eastAsia="宋体" w:cs="宋体"/>
                <w:color w:val="000000"/>
                <w:sz w:val="20"/>
                <w:szCs w:val="20"/>
              </w:rPr>
              <w:t xml:space="preserve">  </w:t>
            </w:r>
            <w:r>
              <w:rPr>
                <w:rFonts w:hint="eastAsia" w:ascii="宋体" w:hAnsi="宋体" w:eastAsia="宋体" w:cs="宋体"/>
                <w:color w:val="00000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30707</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30314</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采暖补贴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32.74</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30315</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物业服务补贴</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6.50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656"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其他对个人和家庭的补助支出</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kern w:val="0"/>
                <w:sz w:val="20"/>
                <w:szCs w:val="20"/>
              </w:rPr>
              <w:t>0.00</w:t>
            </w:r>
          </w:p>
        </w:tc>
        <w:tc>
          <w:tcPr>
            <w:tcW w:w="601"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2656"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2657" w:type="dxa"/>
            <w:tcBorders>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1301"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39.85</w:t>
            </w:r>
          </w:p>
        </w:tc>
        <w:tc>
          <w:tcPr>
            <w:tcW w:w="601"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hAnsi="宋体" w:eastAsia="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257"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1301" w:type="dxa"/>
            <w:tcBorders>
              <w:bottom w:val="single" w:color="000000" w:sz="4" w:space="0"/>
              <w:right w:val="single" w:color="000000" w:sz="4" w:space="0"/>
            </w:tcBorders>
            <w:vAlign w:val="center"/>
          </w:tcPr>
          <w:p>
            <w:pPr>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464.77</w:t>
            </w:r>
          </w:p>
        </w:tc>
        <w:tc>
          <w:tcPr>
            <w:tcW w:w="7817" w:type="dxa"/>
            <w:gridSpan w:val="5"/>
            <w:tcBorders>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607" w:type="dxa"/>
            <w:tcBorders>
              <w:bottom w:val="single" w:color="000000" w:sz="4" w:space="0"/>
              <w:right w:val="single" w:color="000000" w:sz="4" w:space="0"/>
            </w:tcBorders>
            <w:vAlign w:val="center"/>
          </w:tcPr>
          <w:p>
            <w:pPr>
              <w:jc w:val="right"/>
              <w:rPr>
                <w:rFonts w:ascii="宋体" w:hAnsi="宋体" w:eastAsia="宋体" w:cs="宋体"/>
                <w:color w:val="000000"/>
                <w:sz w:val="20"/>
                <w:szCs w:val="20"/>
              </w:rPr>
            </w:pPr>
            <w:r>
              <w:rPr>
                <w:rFonts w:hint="eastAsia" w:ascii="宋体" w:hAnsi="宋体" w:eastAsia="宋体" w:cs="宋体"/>
                <w:color w:val="000000"/>
                <w:sz w:val="20"/>
                <w:szCs w:val="20"/>
              </w:rPr>
              <w:t>463.17</w:t>
            </w:r>
          </w:p>
        </w:tc>
      </w:tr>
    </w:tbl>
    <w:p>
      <w:pPr>
        <w:tabs>
          <w:tab w:val="left" w:pos="814"/>
          <w:tab w:val="center" w:pos="6979"/>
        </w:tabs>
        <w:spacing w:line="360" w:lineRule="auto"/>
        <w:jc w:val="left"/>
        <w:rPr>
          <w:rFonts w:ascii="隶书" w:hAnsi="隶书" w:eastAsia="隶书" w:cs="隶书"/>
          <w:sz w:val="52"/>
          <w:szCs w:val="52"/>
        </w:rPr>
      </w:pPr>
      <w:r>
        <w:rPr>
          <w:rFonts w:ascii="隶书" w:hAnsi="隶书" w:eastAsia="隶书" w:cs="隶书"/>
          <w:sz w:val="52"/>
          <w:szCs w:val="52"/>
        </w:rPr>
        <w:tab/>
      </w:r>
    </w:p>
    <w:p>
      <w:pPr>
        <w:rPr>
          <w:rFonts w:ascii="隶书" w:hAnsi="隶书" w:eastAsia="隶书" w:cs="隶书"/>
          <w:sz w:val="52"/>
          <w:szCs w:val="52"/>
        </w:rPr>
        <w:sectPr>
          <w:pgSz w:w="16838" w:h="11906" w:orient="landscape"/>
          <w:pgMar w:top="1587" w:right="1440" w:bottom="1531" w:left="1440" w:header="850" w:footer="992" w:gutter="0"/>
          <w:pgNumType w:fmt="numberInDash"/>
          <w:cols w:space="720" w:num="1"/>
          <w:docGrid w:type="lines" w:linePitch="317" w:charSpace="0"/>
        </w:sectPr>
      </w:pPr>
    </w:p>
    <w:tbl>
      <w:tblPr>
        <w:tblStyle w:val="6"/>
        <w:tblW w:w="10547" w:type="dxa"/>
        <w:tblInd w:w="-9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2"/>
        <w:gridCol w:w="861"/>
        <w:gridCol w:w="62"/>
        <w:gridCol w:w="585"/>
        <w:gridCol w:w="182"/>
        <w:gridCol w:w="447"/>
        <w:gridCol w:w="336"/>
        <w:gridCol w:w="294"/>
        <w:gridCol w:w="629"/>
        <w:gridCol w:w="77"/>
        <w:gridCol w:w="965"/>
        <w:gridCol w:w="509"/>
        <w:gridCol w:w="413"/>
        <w:gridCol w:w="234"/>
        <w:gridCol w:w="630"/>
        <w:gridCol w:w="59"/>
        <w:gridCol w:w="571"/>
        <w:gridCol w:w="249"/>
        <w:gridCol w:w="381"/>
        <w:gridCol w:w="439"/>
        <w:gridCol w:w="820"/>
        <w:gridCol w:w="870"/>
        <w:gridCol w:w="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47" w:type="dxa"/>
            <w:gridSpan w:val="23"/>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285" w:hRule="atLeast"/>
        </w:trPr>
        <w:tc>
          <w:tcPr>
            <w:tcW w:w="1783" w:type="dxa"/>
            <w:gridSpan w:val="2"/>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29"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29" w:type="dxa"/>
            <w:vAlign w:val="center"/>
          </w:tcPr>
          <w:p>
            <w:pPr>
              <w:rPr>
                <w:rFonts w:ascii="宋体" w:hAnsi="宋体" w:eastAsia="宋体" w:cs="宋体"/>
                <w:color w:val="000000"/>
                <w:sz w:val="16"/>
                <w:szCs w:val="16"/>
              </w:rPr>
            </w:pPr>
          </w:p>
        </w:tc>
        <w:tc>
          <w:tcPr>
            <w:tcW w:w="1042" w:type="dxa"/>
            <w:gridSpan w:val="2"/>
            <w:vAlign w:val="center"/>
          </w:tcPr>
          <w:p>
            <w:pPr>
              <w:rPr>
                <w:rFonts w:ascii="宋体" w:hAnsi="宋体" w:eastAsia="宋体" w:cs="宋体"/>
                <w:color w:val="000000"/>
                <w:sz w:val="16"/>
                <w:szCs w:val="16"/>
              </w:rPr>
            </w:pPr>
          </w:p>
        </w:tc>
        <w:tc>
          <w:tcPr>
            <w:tcW w:w="509" w:type="dxa"/>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30" w:type="dxa"/>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212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270" w:hRule="atLeast"/>
        </w:trPr>
        <w:tc>
          <w:tcPr>
            <w:tcW w:w="1783" w:type="dxa"/>
            <w:gridSpan w:val="2"/>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29"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29" w:type="dxa"/>
            <w:vAlign w:val="center"/>
          </w:tcPr>
          <w:p>
            <w:pPr>
              <w:rPr>
                <w:rFonts w:ascii="宋体" w:hAnsi="宋体" w:eastAsia="宋体" w:cs="宋体"/>
                <w:color w:val="000000"/>
                <w:sz w:val="16"/>
                <w:szCs w:val="16"/>
              </w:rPr>
            </w:pPr>
          </w:p>
        </w:tc>
        <w:tc>
          <w:tcPr>
            <w:tcW w:w="1042" w:type="dxa"/>
            <w:gridSpan w:val="2"/>
            <w:vAlign w:val="center"/>
          </w:tcPr>
          <w:p>
            <w:pPr>
              <w:rPr>
                <w:rFonts w:ascii="宋体" w:hAnsi="宋体" w:eastAsia="宋体" w:cs="宋体"/>
                <w:color w:val="000000"/>
                <w:sz w:val="16"/>
                <w:szCs w:val="16"/>
              </w:rPr>
            </w:pPr>
          </w:p>
        </w:tc>
        <w:tc>
          <w:tcPr>
            <w:tcW w:w="509" w:type="dxa"/>
            <w:vAlign w:val="center"/>
          </w:tcPr>
          <w:p>
            <w:pPr>
              <w:rPr>
                <w:rFonts w:ascii="宋体" w:hAnsi="宋体" w:eastAsia="宋体" w:cs="宋体"/>
                <w:color w:val="000000"/>
                <w:sz w:val="16"/>
                <w:szCs w:val="16"/>
              </w:rPr>
            </w:pPr>
          </w:p>
        </w:tc>
        <w:tc>
          <w:tcPr>
            <w:tcW w:w="647" w:type="dxa"/>
            <w:gridSpan w:val="2"/>
            <w:vAlign w:val="center"/>
          </w:tcPr>
          <w:p>
            <w:pPr>
              <w:rPr>
                <w:rFonts w:ascii="宋体" w:hAnsi="宋体" w:eastAsia="宋体" w:cs="宋体"/>
                <w:color w:val="000000"/>
                <w:sz w:val="16"/>
                <w:szCs w:val="16"/>
              </w:rPr>
            </w:pPr>
          </w:p>
        </w:tc>
        <w:tc>
          <w:tcPr>
            <w:tcW w:w="630" w:type="dxa"/>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630" w:type="dxa"/>
            <w:gridSpan w:val="2"/>
            <w:vAlign w:val="center"/>
          </w:tcPr>
          <w:p>
            <w:pPr>
              <w:rPr>
                <w:rFonts w:ascii="宋体" w:hAnsi="宋体" w:eastAsia="宋体" w:cs="宋体"/>
                <w:color w:val="000000"/>
                <w:sz w:val="16"/>
                <w:szCs w:val="16"/>
              </w:rPr>
            </w:pPr>
          </w:p>
        </w:tc>
        <w:tc>
          <w:tcPr>
            <w:tcW w:w="2129" w:type="dxa"/>
            <w:gridSpan w:val="3"/>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300" w:hRule="atLeast"/>
        </w:trPr>
        <w:tc>
          <w:tcPr>
            <w:tcW w:w="536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ind w:firstLine="2409" w:firstLineChars="1500"/>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 xml:space="preserve">决算数 </w:t>
            </w:r>
            <w:r>
              <w:rPr>
                <w:rFonts w:ascii="宋体" w:hAnsi="宋体" w:eastAsia="宋体" w:cs="宋体"/>
                <w:b/>
                <w:color w:val="000000"/>
                <w:kern w:val="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9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7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运行费</w:t>
            </w:r>
          </w:p>
        </w:tc>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公务用车</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2</w:t>
            </w: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w:t>
            </w:r>
          </w:p>
        </w:tc>
        <w:tc>
          <w:tcPr>
            <w:tcW w:w="7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5</w:t>
            </w:r>
          </w:p>
        </w:tc>
        <w:tc>
          <w:tcPr>
            <w:tcW w:w="9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 w:type="dxa"/>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eastAsia="宋体" w:cs="宋体"/>
                <w:b/>
                <w:color w:val="000000"/>
                <w:sz w:val="16"/>
                <w:szCs w:val="16"/>
              </w:rPr>
            </w:pPr>
            <w:r>
              <w:rPr>
                <w:rFonts w:ascii="宋体" w:hAnsi="宋体" w:eastAsia="宋体" w:cs="宋体"/>
                <w:b/>
                <w:color w:val="000000"/>
                <w:sz w:val="16"/>
                <w:szCs w:val="16"/>
              </w:rPr>
              <w:t>5</w:t>
            </w:r>
            <w:r>
              <w:rPr>
                <w:rFonts w:hint="eastAsia" w:ascii="宋体" w:hAnsi="宋体" w:cs="宋体"/>
                <w:b/>
                <w:color w:val="000000"/>
                <w:sz w:val="16"/>
                <w:szCs w:val="16"/>
                <w:lang w:val="en-US" w:eastAsia="zh-CN"/>
              </w:rPr>
              <w:t>5.72</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767" w:type="dxa"/>
            <w:gridSpan w:val="2"/>
            <w:tcBorders>
              <w:top w:val="single" w:color="000000" w:sz="4" w:space="0"/>
              <w:left w:val="single" w:color="000000" w:sz="4" w:space="0"/>
              <w:bottom w:val="single" w:color="000000" w:sz="12" w:space="0"/>
              <w:right w:val="single" w:color="000000" w:sz="4" w:space="0"/>
            </w:tcBorders>
            <w:vAlign w:val="center"/>
          </w:tcPr>
          <w:p>
            <w:pPr>
              <w:tabs>
                <w:tab w:val="left" w:pos="528"/>
              </w:tabs>
              <w:rPr>
                <w:rFonts w:ascii="宋体" w:hAnsi="宋体" w:eastAsia="宋体" w:cs="宋体"/>
                <w:color w:val="000000"/>
                <w:sz w:val="16"/>
                <w:szCs w:val="16"/>
              </w:rPr>
            </w:pPr>
            <w:r>
              <w:rPr>
                <w:rFonts w:ascii="宋体" w:hAnsi="宋体" w:eastAsia="宋体" w:cs="宋体"/>
                <w:color w:val="000000"/>
                <w:sz w:val="16"/>
                <w:szCs w:val="16"/>
              </w:rPr>
              <w:t>5</w:t>
            </w:r>
            <w:r>
              <w:rPr>
                <w:rFonts w:hint="eastAsia" w:ascii="宋体" w:hAnsi="宋体" w:cs="宋体"/>
                <w:color w:val="000000"/>
                <w:sz w:val="16"/>
                <w:szCs w:val="16"/>
                <w:lang w:val="en-US" w:eastAsia="zh-CN"/>
              </w:rPr>
              <w:t>2.62</w:t>
            </w:r>
          </w:p>
        </w:tc>
        <w:tc>
          <w:tcPr>
            <w:tcW w:w="783"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17.62</w:t>
            </w: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hint="eastAsia" w:ascii="宋体" w:hAnsi="宋体" w:eastAsia="宋体" w:cs="宋体"/>
                <w:color w:val="000000"/>
                <w:sz w:val="16"/>
                <w:szCs w:val="16"/>
                <w:lang w:eastAsia="zh-CN"/>
              </w:rPr>
            </w:pPr>
            <w:r>
              <w:rPr>
                <w:rFonts w:hint="eastAsia" w:ascii="宋体" w:hAnsi="宋体" w:cs="宋体"/>
                <w:color w:val="000000"/>
                <w:sz w:val="16"/>
                <w:szCs w:val="16"/>
                <w:lang w:val="en-US" w:eastAsia="zh-CN"/>
              </w:rPr>
              <w:t>35</w:t>
            </w:r>
          </w:p>
        </w:tc>
        <w:tc>
          <w:tcPr>
            <w:tcW w:w="965"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3.</w:t>
            </w:r>
            <w:r>
              <w:rPr>
                <w:rFonts w:hint="eastAsia" w:ascii="宋体" w:hAnsi="宋体" w:cs="宋体"/>
                <w:color w:val="000000"/>
                <w:sz w:val="16"/>
                <w:szCs w:val="16"/>
                <w:lang w:val="en-US" w:eastAsia="zh-CN"/>
              </w:rPr>
              <w:t>1</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b/>
                <w:color w:val="000000"/>
                <w:sz w:val="16"/>
                <w:szCs w:val="16"/>
              </w:rPr>
            </w:pPr>
            <w:r>
              <w:rPr>
                <w:rFonts w:ascii="宋体" w:hAnsi="宋体" w:eastAsia="宋体" w:cs="宋体"/>
                <w:b/>
                <w:color w:val="000000"/>
                <w:sz w:val="16"/>
                <w:szCs w:val="16"/>
              </w:rPr>
              <w:t>53.37</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0</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50.36</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17.62</w:t>
            </w:r>
          </w:p>
        </w:tc>
        <w:tc>
          <w:tcPr>
            <w:tcW w:w="820"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32.74</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eastAsia="宋体" w:cs="宋体"/>
                <w:color w:val="000000"/>
                <w:sz w:val="16"/>
                <w:szCs w:val="16"/>
              </w:rPr>
            </w:pPr>
            <w:r>
              <w:rPr>
                <w:rFonts w:ascii="宋体" w:hAnsi="宋体" w:eastAsia="宋体" w:cs="宋体"/>
                <w:color w:val="000000"/>
                <w:sz w:val="16"/>
                <w:szCs w:val="16"/>
              </w:rPr>
              <w:t>3.0</w:t>
            </w:r>
            <w:r>
              <w:rPr>
                <w:rFonts w:hint="eastAsia" w:ascii="宋体" w:hAnsi="宋体" w:cs="宋体"/>
                <w:color w:val="000000"/>
                <w:sz w:val="16"/>
                <w:szCs w:val="16"/>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547" w:type="dxa"/>
            <w:gridSpan w:val="23"/>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注：本表反映部门本年度“三公”经费支出预决算情况。其中，预算数为“三公”经费年初预算数，决算数是包括当年一般公共预算财政拨款和以前年度结转资金安排的实际支出。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tbl>
      <w:tblPr>
        <w:tblStyle w:val="6"/>
        <w:tblW w:w="10500" w:type="dxa"/>
        <w:tblInd w:w="-9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hAnsi="宋体" w:eastAsia="宋体" w:cs="宋体"/>
                <w:color w:val="000000"/>
                <w:sz w:val="16"/>
                <w:szCs w:val="16"/>
              </w:rPr>
            </w:pP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hAnsi="宋体" w:eastAsia="宋体" w:cs="宋体"/>
                <w:color w:val="000000"/>
                <w:sz w:val="16"/>
                <w:szCs w:val="16"/>
              </w:rPr>
            </w:pPr>
          </w:p>
        </w:tc>
        <w:tc>
          <w:tcPr>
            <w:tcW w:w="1436" w:type="dxa"/>
            <w:vAlign w:val="center"/>
          </w:tcPr>
          <w:p>
            <w:pPr>
              <w:rPr>
                <w:rFonts w:ascii="宋体" w:hAnsi="宋体" w:eastAsia="宋体" w:cs="宋体"/>
                <w:color w:val="000000"/>
                <w:sz w:val="16"/>
                <w:szCs w:val="16"/>
              </w:rPr>
            </w:pPr>
          </w:p>
        </w:tc>
        <w:tc>
          <w:tcPr>
            <w:tcW w:w="1166" w:type="dxa"/>
            <w:vAlign w:val="center"/>
          </w:tcPr>
          <w:p>
            <w:pPr>
              <w:rPr>
                <w:rFonts w:ascii="宋体" w:hAnsi="宋体" w:eastAsia="宋体" w:cs="宋体"/>
                <w:color w:val="000000"/>
                <w:sz w:val="16"/>
                <w:szCs w:val="16"/>
              </w:rPr>
            </w:pPr>
          </w:p>
        </w:tc>
        <w:tc>
          <w:tcPr>
            <w:tcW w:w="1297" w:type="dxa"/>
            <w:gridSpan w:val="2"/>
            <w:vAlign w:val="center"/>
          </w:tcPr>
          <w:p>
            <w:pPr>
              <w:rPr>
                <w:rFonts w:ascii="宋体" w:hAnsi="宋体" w:eastAsia="宋体" w:cs="宋体"/>
                <w:color w:val="000000"/>
                <w:sz w:val="16"/>
                <w:szCs w:val="16"/>
              </w:rPr>
            </w:pPr>
          </w:p>
        </w:tc>
        <w:tc>
          <w:tcPr>
            <w:tcW w:w="751" w:type="dxa"/>
            <w:vAlign w:val="center"/>
          </w:tcPr>
          <w:p>
            <w:pPr>
              <w:rPr>
                <w:rFonts w:ascii="宋体" w:hAnsi="宋体" w:eastAsia="宋体" w:cs="宋体"/>
                <w:color w:val="000000"/>
                <w:sz w:val="16"/>
                <w:szCs w:val="16"/>
              </w:rPr>
            </w:pPr>
          </w:p>
        </w:tc>
        <w:tc>
          <w:tcPr>
            <w:tcW w:w="999" w:type="dxa"/>
            <w:gridSpan w:val="2"/>
            <w:vAlign w:val="center"/>
          </w:tcPr>
          <w:p>
            <w:pPr>
              <w:rPr>
                <w:rFonts w:ascii="宋体" w:hAnsi="宋体" w:eastAsia="宋体" w:cs="宋体"/>
                <w:color w:val="000000"/>
                <w:sz w:val="16"/>
                <w:szCs w:val="16"/>
              </w:rPr>
            </w:pPr>
          </w:p>
        </w:tc>
        <w:tc>
          <w:tcPr>
            <w:tcW w:w="2000" w:type="dxa"/>
            <w:gridSpan w:val="2"/>
            <w:vAlign w:val="center"/>
          </w:tcPr>
          <w:p>
            <w:pPr>
              <w:rPr>
                <w:rFonts w:ascii="宋体" w:hAnsi="宋体" w:eastAsia="宋体" w:cs="宋体"/>
                <w:color w:val="000000"/>
                <w:sz w:val="16"/>
                <w:szCs w:val="16"/>
              </w:rPr>
            </w:pPr>
          </w:p>
        </w:tc>
        <w:tc>
          <w:tcPr>
            <w:tcW w:w="1260" w:type="dxa"/>
            <w:vAlign w:val="center"/>
          </w:tcPr>
          <w:p>
            <w:pPr>
              <w:widowControl/>
              <w:jc w:val="righ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功能分类</w:t>
            </w:r>
            <w:r>
              <w:rPr>
                <w:rFonts w:hint="eastAsia" w:ascii="宋体" w:hAnsi="宋体" w:eastAsia="宋体" w:cs="宋体"/>
                <w:b/>
                <w:color w:val="000000"/>
                <w:kern w:val="0"/>
                <w:sz w:val="16"/>
                <w:szCs w:val="16"/>
              </w:rPr>
              <w:br w:type="textWrapping"/>
            </w:r>
            <w:r>
              <w:rPr>
                <w:rFonts w:hint="eastAsia" w:ascii="宋体" w:hAnsi="宋体" w:eastAsia="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tabs>
                <w:tab w:val="left" w:pos="584"/>
              </w:tabs>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eastAsia="宋体" w:cs="宋体"/>
                <w:b/>
                <w:color w:val="000000"/>
                <w:sz w:val="16"/>
                <w:szCs w:val="16"/>
              </w:rPr>
            </w:pPr>
            <w:r>
              <w:rPr>
                <w:rFonts w:hint="eastAsia" w:ascii="宋体" w:hAnsi="宋体" w:eastAsia="宋体" w:cs="宋体"/>
                <w:b/>
                <w:color w:val="000000"/>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b/>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eastAsia="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eastAsia="宋体" w:cs="宋体"/>
                <w:color w:val="000000"/>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eastAsia="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eastAsia="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eastAsia="宋体" w:cs="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hAnsi="宋体" w:eastAsia="宋体" w:cs="宋体"/>
                <w:b/>
                <w:color w:val="FF0000"/>
                <w:sz w:val="20"/>
                <w:szCs w:val="20"/>
              </w:rPr>
            </w:pPr>
            <w:r>
              <w:rPr>
                <w:rFonts w:hint="eastAsia" w:ascii="宋体" w:hAnsi="宋体" w:eastAsia="宋体" w:cs="宋体"/>
                <w:b/>
                <w:color w:val="FF0000"/>
                <w:kern w:val="0"/>
                <w:sz w:val="20"/>
                <w:szCs w:val="20"/>
              </w:rPr>
              <w:t>（该报表全部数据为零时）说明：县委办没有政府性基金收入，也没有使用政府性基金安排的支出，故本表无数据。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72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隶书" w:hAnsi="隶书" w:eastAsia="隶书" w:cs="隶书"/>
          <w:sz w:val="48"/>
          <w:szCs w:val="48"/>
        </w:rPr>
        <w:t>201</w:t>
      </w:r>
      <w:r>
        <w:rPr>
          <w:rFonts w:hint="eastAsia" w:ascii="隶书" w:hAnsi="隶书" w:eastAsia="隶书" w:cs="隶书"/>
          <w:sz w:val="48"/>
          <w:szCs w:val="48"/>
          <w:lang w:val="en-US" w:eastAsia="zh-CN"/>
        </w:rPr>
        <w:t>7</w:t>
      </w:r>
      <w:r>
        <w:rPr>
          <w:rFonts w:hint="eastAsia" w:ascii="隶书" w:hAnsi="隶书" w:eastAsia="隶书" w:cs="隶书"/>
          <w:sz w:val="48"/>
          <w:szCs w:val="48"/>
        </w:rPr>
        <w:t>年度部门决算情况说明</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ascii="仿宋_GB2312" w:hAnsi="宋体" w:eastAsia="仿宋_GB2312" w:cs="Courier New"/>
          <w:sz w:val="32"/>
          <w:szCs w:val="32"/>
        </w:rPr>
        <w:t>7</w:t>
      </w:r>
      <w:r>
        <w:rPr>
          <w:rFonts w:hint="eastAsia" w:ascii="仿宋_GB2312" w:hAnsi="宋体" w:eastAsia="仿宋_GB2312" w:cs="Courier New"/>
          <w:sz w:val="32"/>
          <w:szCs w:val="32"/>
        </w:rPr>
        <w:t>年度收入总计9</w:t>
      </w:r>
      <w:r>
        <w:rPr>
          <w:rFonts w:hint="eastAsia" w:ascii="仿宋_GB2312" w:hAnsi="宋体" w:eastAsia="仿宋_GB2312" w:cs="Courier New"/>
          <w:sz w:val="32"/>
          <w:szCs w:val="32"/>
          <w:lang w:val="en-US" w:eastAsia="zh-CN"/>
        </w:rPr>
        <w:t>27.94</w:t>
      </w:r>
      <w:r>
        <w:rPr>
          <w:rFonts w:hint="eastAsia" w:ascii="仿宋_GB2312" w:hAnsi="宋体" w:eastAsia="仿宋_GB2312" w:cs="Courier New"/>
          <w:sz w:val="32"/>
          <w:szCs w:val="32"/>
        </w:rPr>
        <w:t>万元，支出总计</w:t>
      </w:r>
      <w:r>
        <w:rPr>
          <w:rFonts w:ascii="仿宋_GB2312" w:hAnsi="宋体" w:eastAsia="仿宋_GB2312" w:cs="Courier New"/>
          <w:sz w:val="32"/>
          <w:szCs w:val="32"/>
        </w:rPr>
        <w:t>9</w:t>
      </w:r>
      <w:r>
        <w:rPr>
          <w:rFonts w:hint="eastAsia" w:ascii="仿宋_GB2312" w:hAnsi="宋体" w:eastAsia="仿宋_GB2312" w:cs="Courier New"/>
          <w:sz w:val="32"/>
          <w:szCs w:val="32"/>
          <w:lang w:val="en-US" w:eastAsia="zh-CN"/>
        </w:rPr>
        <w:t>27.94</w:t>
      </w:r>
      <w:r>
        <w:rPr>
          <w:rFonts w:hint="eastAsia" w:ascii="仿宋_GB2312" w:hAnsi="宋体" w:eastAsia="仿宋_GB2312" w:cs="Courier New"/>
          <w:sz w:val="32"/>
          <w:szCs w:val="32"/>
        </w:rPr>
        <w:t>万元，与201</w:t>
      </w:r>
      <w:r>
        <w:rPr>
          <w:rFonts w:ascii="仿宋_GB2312" w:hAnsi="宋体" w:eastAsia="仿宋_GB2312" w:cs="Courier New"/>
          <w:sz w:val="32"/>
          <w:szCs w:val="32"/>
        </w:rPr>
        <w:t>6</w:t>
      </w:r>
      <w:r>
        <w:rPr>
          <w:rFonts w:hint="eastAsia" w:ascii="仿宋_GB2312" w:hAnsi="宋体" w:eastAsia="仿宋_GB2312" w:cs="Courier New"/>
          <w:sz w:val="32"/>
          <w:szCs w:val="32"/>
        </w:rPr>
        <w:t>年相比，收、支总计各减少</w:t>
      </w:r>
      <w:r>
        <w:rPr>
          <w:rFonts w:hint="eastAsia" w:ascii="仿宋_GB2312" w:hAnsi="宋体" w:eastAsia="仿宋_GB2312" w:cs="Courier New"/>
          <w:sz w:val="32"/>
          <w:szCs w:val="32"/>
          <w:lang w:val="en-US" w:eastAsia="zh-CN"/>
        </w:rPr>
        <w:t>44.36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4.5</w:t>
      </w:r>
      <w:r>
        <w:rPr>
          <w:rFonts w:hint="eastAsia" w:ascii="仿宋_GB2312" w:hAnsi="宋体" w:eastAsia="仿宋_GB2312" w:cs="Courier New"/>
          <w:sz w:val="32"/>
          <w:szCs w:val="32"/>
        </w:rPr>
        <w:t>%。主要原因减少了会议费及预算经费。</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ind w:firstLine="640"/>
        <w:rPr>
          <w:rFonts w:ascii="仿宋_GB2312" w:hAnsi="Times New Roman" w:eastAsia="仿宋_GB2312"/>
          <w:sz w:val="32"/>
          <w:szCs w:val="32"/>
        </w:rPr>
      </w:pPr>
      <w:r>
        <w:rPr>
          <w:rFonts w:hint="eastAsia" w:ascii="仿宋_GB2312" w:hAnsi="宋体" w:eastAsia="仿宋_GB2312" w:cs="Courier New"/>
          <w:sz w:val="32"/>
          <w:szCs w:val="32"/>
        </w:rPr>
        <w:t>2017年度</w:t>
      </w:r>
      <w:r>
        <w:rPr>
          <w:rFonts w:hint="eastAsia" w:ascii="仿宋_GB2312" w:hAnsi="Times New Roman" w:eastAsia="仿宋_GB2312"/>
          <w:sz w:val="32"/>
          <w:szCs w:val="32"/>
        </w:rPr>
        <w:t>收入合计9</w:t>
      </w:r>
      <w:r>
        <w:rPr>
          <w:rFonts w:hint="eastAsia" w:ascii="仿宋_GB2312" w:hAnsi="Times New Roman" w:eastAsia="仿宋_GB2312"/>
          <w:sz w:val="32"/>
          <w:szCs w:val="32"/>
          <w:lang w:val="en-US" w:eastAsia="zh-CN"/>
        </w:rPr>
        <w:t>27.94</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927.94</w:t>
      </w:r>
      <w:r>
        <w:rPr>
          <w:rFonts w:hint="eastAsia" w:ascii="仿宋_GB2312" w:hAnsi="Times New Roman" w:eastAsia="仿宋_GB2312"/>
          <w:sz w:val="32"/>
          <w:szCs w:val="32"/>
        </w:rPr>
        <w:t>万元，占100</w:t>
      </w:r>
      <w:r>
        <w:rPr>
          <w:rFonts w:ascii="仿宋_GB2312" w:hAnsi="Times New Roman" w:eastAsia="仿宋_GB2312"/>
          <w:sz w:val="32"/>
          <w:szCs w:val="32"/>
        </w:rPr>
        <w:t>%</w:t>
      </w:r>
      <w:r>
        <w:rPr>
          <w:rFonts w:hint="eastAsia" w:ascii="仿宋_GB2312" w:hAnsi="Times New Roman" w:eastAsia="仿宋_GB2312"/>
          <w:sz w:val="32"/>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ind w:firstLine="640"/>
        <w:rPr>
          <w:rFonts w:ascii="仿宋_GB2312" w:hAnsi="宋体" w:cs="Courier New"/>
          <w:szCs w:val="32"/>
        </w:rPr>
      </w:pPr>
      <w:r>
        <w:rPr>
          <w:rFonts w:hint="eastAsia" w:ascii="仿宋_GB2312" w:hAnsi="宋体" w:eastAsia="仿宋_GB2312" w:cs="Courier New"/>
          <w:sz w:val="32"/>
          <w:szCs w:val="32"/>
        </w:rPr>
        <w:t>2017年度支出合</w:t>
      </w:r>
      <w:r>
        <w:rPr>
          <w:rFonts w:hint="eastAsia" w:ascii="仿宋_GB2312" w:hAnsi="宋体" w:eastAsia="仿宋_GB2312" w:cs="Courier New"/>
          <w:sz w:val="32"/>
          <w:szCs w:val="32"/>
          <w:lang w:val="en-US" w:eastAsia="zh-CN"/>
        </w:rPr>
        <w:t>927.94</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927.94</w:t>
      </w:r>
      <w:r>
        <w:rPr>
          <w:rFonts w:hint="eastAsia" w:ascii="仿宋_GB2312" w:hAnsi="宋体" w:eastAsia="仿宋_GB2312" w:cs="Courier New"/>
          <w:sz w:val="32"/>
          <w:szCs w:val="32"/>
        </w:rPr>
        <w:t>万元，占100%</w:t>
      </w:r>
      <w:r>
        <w:rPr>
          <w:rFonts w:hint="eastAsia" w:ascii="仿宋_GB2312" w:hAnsi="宋体" w:cs="Courier New"/>
          <w:szCs w:val="32"/>
        </w:rPr>
        <w:t>。</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2017年财政拨款收支总决算</w:t>
      </w:r>
      <w:r>
        <w:rPr>
          <w:rFonts w:hint="eastAsia" w:ascii="仿宋_GB2312" w:hAnsi="宋体" w:eastAsia="仿宋_GB2312" w:cs="Courier New"/>
          <w:sz w:val="32"/>
          <w:szCs w:val="32"/>
          <w:lang w:val="en-US" w:eastAsia="zh-CN"/>
        </w:rPr>
        <w:t>927.94</w:t>
      </w:r>
      <w:r>
        <w:rPr>
          <w:rFonts w:hint="eastAsia" w:ascii="仿宋_GB2312" w:hAnsi="宋体" w:eastAsia="仿宋_GB2312" w:cs="Courier New"/>
          <w:sz w:val="32"/>
          <w:szCs w:val="32"/>
        </w:rPr>
        <w:t>万元。与2016年相比，财政拨款收、支总计各减少</w:t>
      </w:r>
      <w:r>
        <w:rPr>
          <w:rFonts w:hint="eastAsia" w:ascii="仿宋_GB2312" w:hAnsi="宋体" w:eastAsia="仿宋_GB2312" w:cs="Courier New"/>
          <w:sz w:val="32"/>
          <w:szCs w:val="32"/>
          <w:lang w:val="en-US" w:eastAsia="zh-CN"/>
        </w:rPr>
        <w:t>44.36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4.5</w:t>
      </w:r>
      <w:r>
        <w:rPr>
          <w:rFonts w:hint="eastAsia" w:ascii="仿宋_GB2312" w:hAnsi="宋体" w:eastAsia="仿宋_GB2312" w:cs="Courier New"/>
          <w:sz w:val="32"/>
          <w:szCs w:val="32"/>
        </w:rPr>
        <w:t>%。主要原因减少了会议费及预算经费。</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4"/>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960" w:firstLineChars="300"/>
        <w:rPr>
          <w:rFonts w:ascii="宋体" w:hAnsi="宋体" w:eastAsia="宋体" w:cs="宋体"/>
          <w:sz w:val="24"/>
        </w:rPr>
      </w:pPr>
      <w:r>
        <w:rPr>
          <w:rFonts w:hint="eastAsia" w:ascii="仿宋_GB2312" w:hAnsi="宋体" w:eastAsia="仿宋_GB2312" w:cs="Courier New"/>
          <w:sz w:val="32"/>
          <w:szCs w:val="32"/>
        </w:rPr>
        <w:t>2017年一般公共预算财政拨款支出</w:t>
      </w:r>
      <w:r>
        <w:rPr>
          <w:rFonts w:hint="eastAsia" w:ascii="仿宋_GB2312" w:hAnsi="宋体" w:eastAsia="仿宋_GB2312" w:cs="Courier New"/>
          <w:sz w:val="32"/>
          <w:szCs w:val="32"/>
          <w:lang w:val="en-US" w:eastAsia="zh-CN"/>
        </w:rPr>
        <w:t>927.94</w:t>
      </w:r>
      <w:r>
        <w:rPr>
          <w:rFonts w:hint="eastAsia" w:ascii="仿宋_GB2312" w:hAnsi="宋体" w:eastAsia="仿宋_GB2312" w:cs="Courier New"/>
          <w:sz w:val="32"/>
          <w:szCs w:val="32"/>
        </w:rPr>
        <w:t>万元，占支出合计的100%。与2016年相比，一般公共预算财政拨款支出减少</w:t>
      </w:r>
      <w:r>
        <w:rPr>
          <w:rFonts w:hint="eastAsia" w:ascii="仿宋_GB2312" w:hAnsi="宋体" w:eastAsia="仿宋_GB2312" w:cs="Courier New"/>
          <w:sz w:val="32"/>
          <w:szCs w:val="32"/>
          <w:lang w:val="en-US" w:eastAsia="zh-CN"/>
        </w:rPr>
        <w:t>44.36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4.5</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2017年度一般公共预算财政拨款支出</w:t>
      </w:r>
      <w:r>
        <w:rPr>
          <w:rFonts w:hint="eastAsia" w:ascii="仿宋_GB2312" w:hAnsi="宋体" w:eastAsia="仿宋_GB2312" w:cs="Courier New"/>
          <w:sz w:val="32"/>
          <w:szCs w:val="32"/>
          <w:lang w:val="en-US" w:eastAsia="zh-CN"/>
        </w:rPr>
        <w:t>927.94</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支出904.82万元，占</w:t>
      </w:r>
      <w:r>
        <w:rPr>
          <w:rFonts w:hint="eastAsia" w:ascii="仿宋_GB2312" w:hAnsi="宋体" w:eastAsia="仿宋_GB2312" w:cs="Courier New"/>
          <w:sz w:val="32"/>
          <w:szCs w:val="32"/>
          <w:lang w:val="en-US" w:eastAsia="zh-CN"/>
        </w:rPr>
        <w:t>97.5</w:t>
      </w:r>
      <w:r>
        <w:rPr>
          <w:rFonts w:hint="eastAsia" w:ascii="仿宋_GB2312" w:hAnsi="宋体" w:eastAsia="仿宋_GB2312" w:cs="Courier New"/>
          <w:sz w:val="32"/>
          <w:szCs w:val="32"/>
        </w:rPr>
        <w:t>%.</w:t>
      </w:r>
    </w:p>
    <w:p>
      <w:pPr>
        <w:numPr>
          <w:ilvl w:val="0"/>
          <w:numId w:val="4"/>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3" w:firstLineChars="200"/>
        <w:rPr>
          <w:rFonts w:hint="eastAsia" w:ascii="仿宋_GB2312" w:hAnsi="宋体" w:eastAsia="仿宋_GB2312" w:cs="Courier New"/>
          <w:sz w:val="32"/>
          <w:szCs w:val="32"/>
        </w:rPr>
      </w:pPr>
      <w:r>
        <w:rPr>
          <w:rFonts w:hint="eastAsia" w:ascii="仿宋_GB2312" w:hAnsi="宋体" w:eastAsia="仿宋_GB2312" w:cs="仿宋_GB2312"/>
          <w:b/>
          <w:bCs/>
          <w:sz w:val="32"/>
          <w:szCs w:val="32"/>
          <w:lang w:val="en-US" w:eastAsia="zh-CN"/>
        </w:rPr>
        <w:t>1、</w:t>
      </w:r>
      <w:r>
        <w:rPr>
          <w:rFonts w:hint="eastAsia" w:ascii="仿宋_GB2312" w:hAnsi="宋体" w:eastAsia="仿宋_GB2312" w:cs="仿宋_GB2312"/>
          <w:b/>
          <w:bCs/>
          <w:sz w:val="32"/>
          <w:szCs w:val="32"/>
        </w:rPr>
        <w:t>一般公共服务（类）党委办公室及相关机构事务（款）行政运行（项）。</w:t>
      </w:r>
      <w:r>
        <w:rPr>
          <w:rFonts w:hint="eastAsia" w:ascii="仿宋_GB2312" w:hAnsi="宋体" w:eastAsia="仿宋_GB2312" w:cs="仿宋_GB2312"/>
          <w:sz w:val="32"/>
          <w:szCs w:val="32"/>
        </w:rPr>
        <w:t>年初预算为9</w:t>
      </w:r>
      <w:r>
        <w:rPr>
          <w:rFonts w:hint="eastAsia" w:ascii="仿宋_GB2312" w:hAnsi="宋体" w:eastAsia="仿宋_GB2312" w:cs="仿宋_GB2312"/>
          <w:sz w:val="32"/>
          <w:szCs w:val="32"/>
          <w:lang w:val="en-US" w:eastAsia="zh-CN"/>
        </w:rPr>
        <w:t>04.82</w:t>
      </w:r>
      <w:r>
        <w:rPr>
          <w:rFonts w:hint="eastAsia" w:ascii="仿宋_GB2312" w:hAnsi="宋体" w:eastAsia="仿宋_GB2312" w:cs="仿宋_GB2312"/>
          <w:sz w:val="32"/>
          <w:szCs w:val="32"/>
        </w:rPr>
        <w:t>万元，支出决算为9</w:t>
      </w:r>
      <w:r>
        <w:rPr>
          <w:rFonts w:hint="eastAsia" w:ascii="仿宋_GB2312" w:hAnsi="宋体" w:eastAsia="仿宋_GB2312" w:cs="仿宋_GB2312"/>
          <w:sz w:val="32"/>
          <w:szCs w:val="32"/>
          <w:lang w:val="en-US" w:eastAsia="zh-CN"/>
        </w:rPr>
        <w:t>04.82</w:t>
      </w:r>
      <w:r>
        <w:rPr>
          <w:rFonts w:hint="eastAsia" w:ascii="仿宋_GB2312" w:hAnsi="宋体" w:eastAsia="仿宋_GB2312" w:cs="仿宋_GB2312"/>
          <w:sz w:val="32"/>
          <w:szCs w:val="32"/>
        </w:rPr>
        <w:t>万元，完成年初预算的</w:t>
      </w:r>
      <w:r>
        <w:rPr>
          <w:rFonts w:ascii="仿宋_GB2312" w:hAnsi="宋体" w:eastAsia="仿宋_GB2312" w:cs="仿宋_GB2312"/>
          <w:sz w:val="32"/>
          <w:szCs w:val="32"/>
        </w:rPr>
        <w:t>100%</w:t>
      </w:r>
      <w:r>
        <w:rPr>
          <w:rFonts w:hint="eastAsia" w:ascii="仿宋_GB2312" w:hAnsi="宋体" w:eastAsia="仿宋_GB2312" w:cs="Courier New"/>
          <w:sz w:val="32"/>
          <w:szCs w:val="32"/>
        </w:rPr>
        <w:t>。</w:t>
      </w:r>
    </w:p>
    <w:p>
      <w:pPr>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仿宋_GB2312"/>
          <w:b/>
          <w:bCs/>
          <w:sz w:val="32"/>
          <w:szCs w:val="32"/>
          <w:lang w:val="en-US" w:eastAsia="zh-CN"/>
        </w:rPr>
        <w:t>2、社会保障和就业支出</w:t>
      </w:r>
      <w:r>
        <w:rPr>
          <w:rFonts w:hint="eastAsia" w:ascii="仿宋_GB2312" w:hAnsi="宋体" w:eastAsia="仿宋_GB2312" w:cs="仿宋_GB2312"/>
          <w:b/>
          <w:bCs/>
          <w:sz w:val="32"/>
          <w:szCs w:val="32"/>
        </w:rPr>
        <w:t>（类）</w:t>
      </w:r>
      <w:r>
        <w:rPr>
          <w:rFonts w:hint="eastAsia" w:ascii="仿宋_GB2312" w:hAnsi="宋体" w:eastAsia="仿宋_GB2312" w:cs="仿宋_GB2312"/>
          <w:b/>
          <w:bCs/>
          <w:sz w:val="32"/>
          <w:szCs w:val="32"/>
          <w:lang w:val="en-US" w:eastAsia="zh-CN"/>
        </w:rPr>
        <w:t>行政事业单位离退休</w:t>
      </w:r>
      <w:r>
        <w:rPr>
          <w:rFonts w:hint="eastAsia" w:ascii="仿宋_GB2312" w:hAnsi="宋体" w:eastAsia="仿宋_GB2312" w:cs="仿宋_GB2312"/>
          <w:b/>
          <w:bCs/>
          <w:sz w:val="32"/>
          <w:szCs w:val="32"/>
        </w:rPr>
        <w:t>（款）</w:t>
      </w:r>
      <w:r>
        <w:rPr>
          <w:rFonts w:hint="eastAsia" w:ascii="仿宋_GB2312" w:hAnsi="宋体" w:eastAsia="仿宋_GB2312" w:cs="仿宋_GB2312"/>
          <w:b/>
          <w:bCs/>
          <w:sz w:val="32"/>
          <w:szCs w:val="32"/>
          <w:lang w:val="en-US" w:eastAsia="zh-CN"/>
        </w:rPr>
        <w:t>归口管理的行政单位离退休</w:t>
      </w:r>
      <w:r>
        <w:rPr>
          <w:rFonts w:hint="eastAsia" w:ascii="仿宋_GB2312" w:hAnsi="宋体" w:eastAsia="仿宋_GB2312" w:cs="仿宋_GB2312"/>
          <w:b/>
          <w:bCs/>
          <w:sz w:val="32"/>
          <w:szCs w:val="32"/>
        </w:rPr>
        <w:t>（项）。</w:t>
      </w:r>
      <w:r>
        <w:rPr>
          <w:rFonts w:hint="eastAsia" w:ascii="仿宋_GB2312" w:hAnsi="宋体" w:eastAsia="仿宋_GB2312" w:cs="仿宋_GB2312"/>
          <w:sz w:val="32"/>
          <w:szCs w:val="32"/>
        </w:rPr>
        <w:t>年初预算为</w:t>
      </w:r>
      <w:r>
        <w:rPr>
          <w:rFonts w:hint="eastAsia" w:ascii="仿宋_GB2312" w:hAnsi="宋体" w:eastAsia="仿宋_GB2312" w:cs="仿宋_GB2312"/>
          <w:sz w:val="32"/>
          <w:szCs w:val="32"/>
          <w:lang w:val="en-US" w:eastAsia="zh-CN"/>
        </w:rPr>
        <w:t>23.12</w:t>
      </w:r>
      <w:r>
        <w:rPr>
          <w:rFonts w:hint="eastAsia" w:ascii="仿宋_GB2312" w:hAnsi="宋体" w:eastAsia="仿宋_GB2312" w:cs="仿宋_GB2312"/>
          <w:sz w:val="32"/>
          <w:szCs w:val="32"/>
        </w:rPr>
        <w:t>万元，支出决算为</w:t>
      </w:r>
      <w:r>
        <w:rPr>
          <w:rFonts w:hint="eastAsia" w:ascii="仿宋_GB2312" w:hAnsi="宋体" w:eastAsia="仿宋_GB2312" w:cs="仿宋_GB2312"/>
          <w:sz w:val="32"/>
          <w:szCs w:val="32"/>
          <w:lang w:val="en-US" w:eastAsia="zh-CN"/>
        </w:rPr>
        <w:t>23.12</w:t>
      </w:r>
      <w:r>
        <w:rPr>
          <w:rFonts w:hint="eastAsia" w:ascii="仿宋_GB2312" w:hAnsi="宋体" w:eastAsia="仿宋_GB2312" w:cs="仿宋_GB2312"/>
          <w:sz w:val="32"/>
          <w:szCs w:val="32"/>
        </w:rPr>
        <w:t>万元，完成年初预算的</w:t>
      </w:r>
      <w:r>
        <w:rPr>
          <w:rFonts w:ascii="仿宋_GB2312" w:hAnsi="宋体" w:eastAsia="仿宋_GB2312" w:cs="仿宋_GB2312"/>
          <w:sz w:val="32"/>
          <w:szCs w:val="32"/>
        </w:rPr>
        <w:t>100%</w:t>
      </w:r>
      <w:r>
        <w:rPr>
          <w:rFonts w:hint="eastAsia" w:ascii="仿宋_GB2312" w:hAnsi="宋体" w:eastAsia="仿宋_GB2312" w:cs="Courier New"/>
          <w:sz w:val="32"/>
          <w:szCs w:val="32"/>
        </w:rPr>
        <w:t>。</w:t>
      </w:r>
    </w:p>
    <w:p>
      <w:pPr>
        <w:adjustRightInd w:val="0"/>
        <w:snapToGrid w:val="0"/>
        <w:spacing w:line="360" w:lineRule="auto"/>
        <w:ind w:firstLine="640" w:firstLineChars="200"/>
        <w:rPr>
          <w:rFonts w:hint="eastAsia" w:ascii="仿宋_GB2312" w:hAnsi="宋体" w:eastAsia="仿宋_GB2312" w:cs="Courier New"/>
          <w:sz w:val="32"/>
          <w:szCs w:val="32"/>
        </w:rPr>
      </w:pP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pStyle w:val="2"/>
        <w:kinsoku w:val="0"/>
        <w:overflowPunct w:val="0"/>
        <w:snapToGrid w:val="0"/>
        <w:spacing w:line="600" w:lineRule="exact"/>
        <w:ind w:left="121" w:right="118" w:firstLine="360"/>
        <w:jc w:val="both"/>
        <w:rPr>
          <w:rFonts w:hAnsi="宋体" w:cs="Courier New"/>
        </w:rPr>
      </w:pPr>
      <w:r>
        <w:rPr>
          <w:rFonts w:hint="eastAsia" w:hAnsi="宋体" w:cs="Courier New"/>
        </w:rPr>
        <w:t>2017年一般公共预算财政拨款基本支出9</w:t>
      </w:r>
      <w:r>
        <w:rPr>
          <w:rFonts w:hint="eastAsia" w:hAnsi="宋体" w:cs="Courier New"/>
          <w:lang w:val="en-US" w:eastAsia="zh-CN"/>
        </w:rPr>
        <w:t>27.94</w:t>
      </w:r>
      <w:r>
        <w:rPr>
          <w:rFonts w:hint="eastAsia" w:hAnsi="宋体" w:cs="Courier New"/>
        </w:rPr>
        <w:t>万元.与2016年度相比，减少</w:t>
      </w:r>
      <w:r>
        <w:rPr>
          <w:rFonts w:hint="eastAsia" w:hAnsi="宋体" w:cs="Courier New"/>
          <w:lang w:val="en-US" w:eastAsia="zh-CN"/>
        </w:rPr>
        <w:t>44.36</w:t>
      </w:r>
      <w:r>
        <w:rPr>
          <w:rFonts w:hint="eastAsia" w:hAnsi="宋体" w:cs="Courier New"/>
        </w:rPr>
        <w:t>万元，下降</w:t>
      </w:r>
      <w:r>
        <w:rPr>
          <w:rFonts w:hint="eastAsia" w:hAnsi="宋体" w:cs="Courier New"/>
          <w:lang w:val="en-US" w:eastAsia="zh-CN"/>
        </w:rPr>
        <w:t>4.5</w:t>
      </w:r>
      <w:r>
        <w:rPr>
          <w:rFonts w:hint="eastAsia" w:hAnsi="宋体" w:cs="Courier New"/>
        </w:rPr>
        <w:t>%，主要原因减少了会议费及购车经费。其中：</w:t>
      </w:r>
      <w:r>
        <w:rPr>
          <w:rFonts w:hint="eastAsia" w:hAnsi="Times New Roman"/>
          <w:bCs/>
          <w:spacing w:val="-1"/>
          <w:kern w:val="0"/>
        </w:rPr>
        <w:t>人员经费4</w:t>
      </w:r>
      <w:r>
        <w:rPr>
          <w:rFonts w:hint="eastAsia" w:hAnsi="Times New Roman"/>
          <w:bCs/>
          <w:spacing w:val="-1"/>
          <w:kern w:val="0"/>
          <w:lang w:val="en-US" w:eastAsia="zh-CN"/>
        </w:rPr>
        <w:t>64.77</w:t>
      </w:r>
      <w:r>
        <w:rPr>
          <w:rFonts w:hint="eastAsia" w:hAnsi="Times New Roman"/>
          <w:bCs/>
          <w:spacing w:val="-1"/>
          <w:kern w:val="0"/>
        </w:rPr>
        <w:t>万元</w:t>
      </w:r>
      <w:r>
        <w:rPr>
          <w:rFonts w:hint="eastAsia" w:hAnsi="宋体" w:cs="Courier New"/>
          <w:bCs/>
        </w:rPr>
        <w:t>，</w:t>
      </w:r>
      <w:r>
        <w:rPr>
          <w:rFonts w:hint="eastAsia" w:hAnsi="宋体" w:cs="Courier New"/>
        </w:rPr>
        <w:t>主要包括：主要包括：基本工资、津贴补贴、奖金、社会保障缴费绩效工资、抚恤金、生活补助；</w:t>
      </w:r>
      <w:r>
        <w:rPr>
          <w:rFonts w:hint="eastAsia" w:hAnsi="Times New Roman"/>
          <w:b/>
          <w:spacing w:val="-1"/>
          <w:kern w:val="0"/>
        </w:rPr>
        <w:t>公用经费</w:t>
      </w:r>
      <w:r>
        <w:rPr>
          <w:rFonts w:hint="eastAsia" w:hAnsi="Times New Roman"/>
          <w:spacing w:val="-2"/>
          <w:kern w:val="0"/>
          <w:lang w:val="en-US" w:eastAsia="zh-CN"/>
        </w:rPr>
        <w:t>463.17</w:t>
      </w:r>
      <w:r>
        <w:rPr>
          <w:rFonts w:hint="eastAsia" w:hAnsi="Times New Roman"/>
          <w:spacing w:val="-2"/>
          <w:kern w:val="0"/>
        </w:rPr>
        <w:t>万元</w:t>
      </w:r>
      <w:r>
        <w:rPr>
          <w:rFonts w:hint="eastAsia" w:hAnsi="宋体" w:cs="Courier New"/>
        </w:rPr>
        <w:t>，主要包括：办公费、印刷费、电费、邮电费、物业管理费、差旅费、维修（护）费、会议费、培训费、劳务费、工会经费、福利费、公务用车运行维护费、其他商品和服务支出、办公设备购置。</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关于一般公共预算财政拨款“三公”经费支出决算情况说明</w:t>
      </w:r>
    </w:p>
    <w:p>
      <w:pPr>
        <w:numPr>
          <w:ilvl w:val="0"/>
          <w:numId w:val="5"/>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2017年度“三公”经费财政拨款支出预算为5</w:t>
      </w:r>
      <w:r>
        <w:rPr>
          <w:rFonts w:hint="eastAsia" w:ascii="仿宋_GB2312" w:hAnsi="宋体" w:eastAsia="仿宋_GB2312" w:cs="Courier New"/>
          <w:sz w:val="32"/>
          <w:szCs w:val="32"/>
          <w:lang w:val="en-US" w:eastAsia="zh-CN"/>
        </w:rPr>
        <w:t>5.72</w:t>
      </w:r>
      <w:r>
        <w:rPr>
          <w:rFonts w:hint="eastAsia" w:ascii="仿宋_GB2312" w:hAnsi="宋体" w:eastAsia="仿宋_GB2312" w:cs="Courier New"/>
          <w:sz w:val="32"/>
          <w:szCs w:val="32"/>
        </w:rPr>
        <w:t>万元，支出决算为53.37万元，完成预算的</w:t>
      </w:r>
      <w:r>
        <w:rPr>
          <w:rFonts w:hint="eastAsia" w:ascii="仿宋_GB2312" w:hAnsi="宋体" w:eastAsia="仿宋_GB2312" w:cs="Courier New"/>
          <w:sz w:val="32"/>
          <w:szCs w:val="32"/>
          <w:lang w:val="en-US" w:eastAsia="zh-CN"/>
        </w:rPr>
        <w:t>95</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numPr>
          <w:ilvl w:val="0"/>
          <w:numId w:val="5"/>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pStyle w:val="2"/>
        <w:kinsoku w:val="0"/>
        <w:overflowPunct w:val="0"/>
        <w:snapToGrid w:val="0"/>
        <w:spacing w:line="600" w:lineRule="exact"/>
        <w:ind w:left="0" w:firstLine="640" w:firstLineChars="200"/>
        <w:jc w:val="both"/>
        <w:rPr>
          <w:rFonts w:hAnsi="宋体" w:cs="Courier New"/>
        </w:rPr>
      </w:pPr>
      <w:r>
        <w:rPr>
          <w:rFonts w:hint="eastAsia" w:hAnsi="宋体" w:cs="Courier New"/>
        </w:rPr>
        <w:t>2017年度“三公”经费财政拨款支出决算中，因公出国（境）费支出决算0万元，完成预算的</w:t>
      </w:r>
      <w:r>
        <w:rPr>
          <w:rFonts w:hint="eastAsia" w:hAnsi="宋体" w:cs="Courier New"/>
          <w:lang w:val="en-US" w:eastAsia="zh-CN"/>
        </w:rPr>
        <w:t>0</w:t>
      </w:r>
      <w:r>
        <w:rPr>
          <w:rFonts w:hint="eastAsia" w:hAnsi="宋体" w:cs="Courier New"/>
        </w:rPr>
        <w:t>%，占</w:t>
      </w:r>
      <w:r>
        <w:rPr>
          <w:rFonts w:hint="eastAsia" w:hAnsi="宋体" w:cs="Courier New"/>
          <w:lang w:val="en-US" w:eastAsia="zh-CN"/>
        </w:rPr>
        <w:t>0</w:t>
      </w:r>
      <w:r>
        <w:rPr>
          <w:rFonts w:hint="eastAsia" w:hAnsi="宋体" w:cs="Courier New"/>
        </w:rPr>
        <w:t>%；公务用车购置及运行费支出决算</w:t>
      </w:r>
      <w:r>
        <w:rPr>
          <w:rFonts w:hint="eastAsia" w:hAnsi="宋体" w:cs="Courier New"/>
          <w:lang w:val="en-US" w:eastAsia="zh-CN"/>
        </w:rPr>
        <w:t>50.36</w:t>
      </w:r>
      <w:r>
        <w:rPr>
          <w:rFonts w:hint="eastAsia" w:hAnsi="宋体" w:cs="Courier New"/>
        </w:rPr>
        <w:t>万元，完成预算的</w:t>
      </w:r>
      <w:r>
        <w:rPr>
          <w:rFonts w:hint="eastAsia" w:hAnsi="宋体" w:cs="Courier New"/>
          <w:lang w:val="en-US" w:eastAsia="zh-CN"/>
        </w:rPr>
        <w:t>95.7</w:t>
      </w:r>
      <w:r>
        <w:rPr>
          <w:rFonts w:hint="eastAsia" w:hAnsi="宋体" w:cs="Courier New"/>
        </w:rPr>
        <w:t>%，占</w:t>
      </w:r>
      <w:r>
        <w:rPr>
          <w:rFonts w:hint="eastAsia" w:hAnsi="宋体" w:cs="Courier New"/>
          <w:lang w:val="en-US" w:eastAsia="zh-CN"/>
        </w:rPr>
        <w:t>94.37</w:t>
      </w:r>
      <w:r>
        <w:rPr>
          <w:rFonts w:hint="eastAsia" w:hAnsi="宋体" w:cs="Courier New"/>
        </w:rPr>
        <w:t>%；公务接待费支出决算3</w:t>
      </w:r>
      <w:r>
        <w:rPr>
          <w:rFonts w:hint="eastAsia" w:hAnsi="宋体" w:cs="Courier New"/>
          <w:lang w:val="en-US" w:eastAsia="zh-CN"/>
        </w:rPr>
        <w:t>.01</w:t>
      </w:r>
      <w:r>
        <w:rPr>
          <w:rFonts w:hint="eastAsia" w:hAnsi="宋体" w:cs="Courier New"/>
        </w:rPr>
        <w:t>万元，完成预算的</w:t>
      </w:r>
      <w:r>
        <w:rPr>
          <w:rFonts w:hint="eastAsia" w:hAnsi="宋体" w:cs="Courier New"/>
          <w:lang w:val="en-US" w:eastAsia="zh-CN"/>
        </w:rPr>
        <w:t>97</w:t>
      </w:r>
      <w:r>
        <w:rPr>
          <w:rFonts w:hint="eastAsia" w:hAnsi="宋体" w:cs="Courier New"/>
        </w:rPr>
        <w:t>%</w:t>
      </w:r>
      <w:r>
        <w:rPr>
          <w:rFonts w:hint="eastAsia" w:hAnsi="宋体" w:cs="Courier New"/>
          <w:lang w:eastAsia="zh-CN"/>
        </w:rPr>
        <w:t>，</w:t>
      </w:r>
      <w:r>
        <w:rPr>
          <w:rFonts w:hint="eastAsia" w:hAnsi="宋体" w:cs="Courier New"/>
        </w:rPr>
        <w:t>占</w:t>
      </w:r>
      <w:r>
        <w:rPr>
          <w:rFonts w:hint="eastAsia" w:hAnsi="宋体" w:cs="Courier New"/>
          <w:lang w:val="en-US" w:eastAsia="zh-CN"/>
        </w:rPr>
        <w:t>5.63</w:t>
      </w:r>
      <w:r>
        <w:rPr>
          <w:rFonts w:hint="eastAsia" w:hAnsi="宋体" w:cs="Courier New"/>
        </w:rPr>
        <w:t>%。具体情况如下：</w:t>
      </w:r>
    </w:p>
    <w:p>
      <w:pPr>
        <w:pStyle w:val="7"/>
        <w:numPr>
          <w:ilvl w:val="0"/>
          <w:numId w:val="6"/>
        </w:numPr>
        <w:kinsoku w:val="0"/>
        <w:overflowPunct w:val="0"/>
        <w:autoSpaceDE w:val="0"/>
        <w:autoSpaceDN w:val="0"/>
        <w:adjustRightInd w:val="0"/>
        <w:snapToGrid w:val="0"/>
        <w:spacing w:line="360" w:lineRule="auto"/>
        <w:ind w:firstLineChars="0"/>
        <w:rPr>
          <w:rFonts w:ascii="仿宋_GB2312" w:hAnsi="宋体" w:eastAsia="仿宋_GB2312" w:cs="Courier New"/>
          <w:sz w:val="32"/>
          <w:szCs w:val="32"/>
        </w:rPr>
      </w:pPr>
      <w:r>
        <w:rPr>
          <w:rFonts w:hint="eastAsia" w:ascii="仿宋_GB2312" w:hAnsi="宋体" w:eastAsia="仿宋_GB2312" w:cs="Courier New"/>
          <w:b/>
          <w:bCs/>
          <w:sz w:val="32"/>
          <w:szCs w:val="32"/>
        </w:rPr>
        <w:t>因公出国（境）费</w:t>
      </w:r>
      <w:r>
        <w:rPr>
          <w:rFonts w:hint="eastAsia" w:ascii="仿宋_GB2312" w:hAnsi="宋体" w:eastAsia="仿宋_GB2312" w:cs="Courier New"/>
          <w:sz w:val="32"/>
          <w:szCs w:val="32"/>
        </w:rPr>
        <w:t>支出0万元。。</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highlight w:val="lightGray"/>
        </w:rPr>
        <w:t>2.</w:t>
      </w:r>
      <w:r>
        <w:rPr>
          <w:rFonts w:ascii="仿宋_GB2312" w:hAnsi="宋体" w:eastAsia="仿宋_GB2312" w:cs="Courier New"/>
          <w:b/>
          <w:bCs/>
          <w:sz w:val="32"/>
          <w:szCs w:val="32"/>
          <w:highlight w:val="lightGray"/>
        </w:rPr>
        <w:t xml:space="preserve"> </w:t>
      </w:r>
      <w:r>
        <w:rPr>
          <w:rFonts w:hint="eastAsia" w:ascii="仿宋_GB2312" w:hAnsi="宋体" w:eastAsia="仿宋_GB2312" w:cs="Courier New"/>
          <w:b/>
          <w:bCs/>
          <w:sz w:val="32"/>
          <w:szCs w:val="32"/>
        </w:rPr>
        <w:t>公务用车购置及运行费</w:t>
      </w:r>
      <w:r>
        <w:rPr>
          <w:rFonts w:hint="eastAsia" w:ascii="仿宋_GB2312" w:hAnsi="宋体" w:eastAsia="仿宋_GB2312" w:cs="Courier New"/>
          <w:sz w:val="32"/>
          <w:szCs w:val="32"/>
        </w:rPr>
        <w:t>支出50.36万元。其中：</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公务用车购置</w:t>
      </w:r>
      <w:r>
        <w:rPr>
          <w:rFonts w:hint="eastAsia" w:ascii="仿宋_GB2312" w:hAnsi="宋体" w:eastAsia="仿宋_GB2312" w:cs="Courier New"/>
          <w:sz w:val="32"/>
          <w:szCs w:val="32"/>
        </w:rPr>
        <w:t xml:space="preserve">支出为17.62万元，购置大众汽车牌1台。 </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支出32.74万元。主要用于县委办公室公车运行及维护费。2017年度期末，部门财政拨款公务用车保有量为4</w:t>
      </w:r>
      <w:r>
        <w:rPr>
          <w:rFonts w:hint="eastAsia" w:ascii="仿宋_GB2312" w:hAnsi="宋体" w:eastAsia="仿宋_GB2312" w:cs="Courier New"/>
          <w:sz w:val="32"/>
          <w:szCs w:val="32"/>
          <w:lang w:val="en-US" w:eastAsia="zh-CN"/>
        </w:rPr>
        <w:t>辆</w:t>
      </w:r>
      <w:r>
        <w:rPr>
          <w:rFonts w:hint="eastAsia" w:ascii="仿宋_GB2312" w:hAnsi="宋体" w:eastAsia="仿宋_GB2312" w:cs="Courier New"/>
          <w:sz w:val="32"/>
          <w:szCs w:val="32"/>
        </w:rPr>
        <w:t>。公务用车购置及运行费支出决算比2016年度增加16.8</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万元，增长5</w:t>
      </w:r>
      <w:r>
        <w:rPr>
          <w:rFonts w:ascii="仿宋_GB2312" w:hAnsi="宋体" w:eastAsia="仿宋_GB2312" w:cs="Courier New"/>
          <w:sz w:val="32"/>
          <w:szCs w:val="32"/>
        </w:rPr>
        <w:t>0.25%,</w:t>
      </w:r>
      <w:r>
        <w:rPr>
          <w:rFonts w:hint="eastAsia" w:ascii="仿宋_GB2312" w:hAnsi="宋体" w:eastAsia="仿宋_GB2312" w:cs="Courier New"/>
          <w:sz w:val="32"/>
          <w:szCs w:val="32"/>
        </w:rPr>
        <w:t>主要原因购置车辆1台。</w:t>
      </w:r>
    </w:p>
    <w:p>
      <w:pPr>
        <w:kinsoku w:val="0"/>
        <w:overflowPunct w:val="0"/>
        <w:autoSpaceDE w:val="0"/>
        <w:autoSpaceDN w:val="0"/>
        <w:adjustRightInd w:val="0"/>
        <w:snapToGrid w:val="0"/>
        <w:spacing w:line="360" w:lineRule="auto"/>
        <w:ind w:left="400" w:firstLine="321" w:firstLineChars="100"/>
        <w:jc w:val="left"/>
        <w:rPr>
          <w:rFonts w:ascii="仿宋_GB2312" w:hAnsi="宋体" w:eastAsia="仿宋_GB2312" w:cs="Courier New"/>
          <w:b/>
          <w:bCs/>
          <w:sz w:val="32"/>
          <w:szCs w:val="32"/>
        </w:rPr>
      </w:pPr>
      <w:r>
        <w:rPr>
          <w:rFonts w:hint="eastAsia" w:ascii="仿宋_GB2312" w:hAnsi="宋体" w:eastAsia="仿宋_GB2312" w:cs="Courier New"/>
          <w:b/>
          <w:bCs/>
          <w:sz w:val="32"/>
          <w:szCs w:val="32"/>
        </w:rPr>
        <w:t>3.公务接待费支出3.0</w:t>
      </w:r>
      <w:r>
        <w:rPr>
          <w:rFonts w:hint="eastAsia" w:ascii="仿宋_GB2312" w:hAnsi="宋体" w:eastAsia="仿宋_GB2312" w:cs="Courier New"/>
          <w:b/>
          <w:bCs/>
          <w:sz w:val="32"/>
          <w:szCs w:val="32"/>
          <w:lang w:val="en-US" w:eastAsia="zh-CN"/>
        </w:rPr>
        <w:t>1</w:t>
      </w:r>
      <w:r>
        <w:rPr>
          <w:rFonts w:hint="eastAsia" w:ascii="仿宋_GB2312" w:hAnsi="宋体" w:eastAsia="仿宋_GB2312" w:cs="Courier New"/>
          <w:b/>
          <w:bCs/>
          <w:sz w:val="32"/>
          <w:szCs w:val="32"/>
        </w:rPr>
        <w:t>万元。</w:t>
      </w:r>
      <w:r>
        <w:rPr>
          <w:rFonts w:hint="eastAsia" w:ascii="仿宋_GB2312" w:hAnsi="宋体" w:eastAsia="仿宋_GB2312" w:cs="Courier New"/>
          <w:sz w:val="32"/>
          <w:szCs w:val="32"/>
        </w:rPr>
        <w:t>主要用于县委办公室、统战部、工商联、农办公务接待。公务接待费支出决算比2016年度减少0.</w:t>
      </w:r>
      <w:r>
        <w:rPr>
          <w:rFonts w:hint="eastAsia" w:ascii="仿宋_GB2312" w:hAnsi="宋体" w:eastAsia="仿宋_GB2312" w:cs="Courier New"/>
          <w:sz w:val="32"/>
          <w:szCs w:val="32"/>
          <w:lang w:val="en-US" w:eastAsia="zh-CN"/>
        </w:rPr>
        <w:t>09</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2.9</w:t>
      </w:r>
      <w:r>
        <w:rPr>
          <w:rFonts w:hint="eastAsia" w:ascii="仿宋_GB2312" w:hAnsi="宋体" w:eastAsia="仿宋_GB2312" w:cs="Courier New"/>
          <w:sz w:val="32"/>
          <w:szCs w:val="32"/>
        </w:rPr>
        <w:t>%，主要原因是厉行节约。2017年度共接待国内来访团组25个，来访人员615人次。</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关于预算绩效情况说明</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绩效管理工作开展情况。</w:t>
      </w:r>
    </w:p>
    <w:p>
      <w:pPr>
        <w:ind w:firstLine="640"/>
        <w:jc w:val="both"/>
        <w:rPr>
          <w:rFonts w:hint="eastAsia" w:ascii="楷体" w:hAnsi="楷体" w:eastAsia="楷体"/>
          <w:sz w:val="32"/>
        </w:rPr>
      </w:pPr>
      <w:r>
        <w:rPr>
          <w:rFonts w:hint="eastAsia" w:ascii="仿宋_GB2312" w:hAnsi="仿宋_GB2312" w:eastAsia="仿宋_GB2312" w:cs="仿宋_GB2312"/>
          <w:sz w:val="32"/>
          <w:szCs w:val="32"/>
          <w:lang w:val="en-US" w:eastAsia="zh-CN"/>
        </w:rPr>
        <w:t>根据上级财政部署，我单位充分认识到加强预算绩效管理工作的重要性和紧迫性，积极落实上级相关文件精神，不断强化绩效理念，加强绩效评价管理与资金监管相互融合，绩效评价在全过程管理机制不断完善。</w:t>
      </w:r>
    </w:p>
    <w:p>
      <w:pPr>
        <w:numPr>
          <w:ilvl w:val="0"/>
          <w:numId w:val="7"/>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部门决算中项目绩效自评结果。</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绩效评价制度体系尚不完善，绩效评价仍处于积极探索阶段，绩效评价指标体系还不完善。下一步，我单位将按照市县财政部门要求，进一步扩大绩效预算评价的范围，做好预算绩效管理的宣传工作，加大业务培训力度，建立健全贯穿预算管理全过程的绩效管理制，加大预算绩效评价结果的应用，切实提高预算管理的科学化、精细化水平，提高财政资金使用效益。</w:t>
      </w:r>
    </w:p>
    <w:p>
      <w:pPr>
        <w:numPr>
          <w:ilvl w:val="0"/>
          <w:numId w:val="3"/>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2017年度县委办公室</w:t>
      </w:r>
      <w:r>
        <w:rPr>
          <w:rFonts w:hint="eastAsia" w:ascii="仿宋_GB2312" w:hAnsi="宋体" w:eastAsia="仿宋_GB2312" w:cs="Courier New"/>
          <w:sz w:val="32"/>
          <w:szCs w:val="32"/>
          <w:lang w:eastAsia="zh-CN"/>
        </w:rPr>
        <w:t>无</w:t>
      </w:r>
      <w:r>
        <w:rPr>
          <w:rFonts w:hint="eastAsia" w:ascii="仿宋_GB2312" w:hAnsi="宋体" w:eastAsia="仿宋_GB2312" w:cs="Courier New"/>
          <w:sz w:val="32"/>
          <w:szCs w:val="32"/>
        </w:rPr>
        <w:t>政府性基金预算财政拨款收入，也没有使用政府性基金安排的支出，故本表无数据。</w:t>
      </w:r>
    </w:p>
    <w:p>
      <w:pPr>
        <w:adjustRightInd w:val="0"/>
        <w:snapToGrid w:val="0"/>
        <w:spacing w:line="360" w:lineRule="auto"/>
        <w:ind w:left="640"/>
        <w:outlineLvl w:val="1"/>
        <w:rPr>
          <w:rFonts w:ascii="黑体" w:hAnsi="黑体" w:eastAsia="黑体"/>
          <w:sz w:val="32"/>
          <w:szCs w:val="32"/>
        </w:rPr>
      </w:pPr>
    </w:p>
    <w:p>
      <w:pPr>
        <w:kinsoku w:val="0"/>
        <w:overflowPunct w:val="0"/>
        <w:autoSpaceDE w:val="0"/>
        <w:autoSpaceDN w:val="0"/>
        <w:adjustRightInd w:val="0"/>
        <w:snapToGrid w:val="0"/>
        <w:spacing w:line="360" w:lineRule="auto"/>
        <w:ind w:left="640"/>
        <w:rPr>
          <w:rFonts w:ascii="楷体_GB2312" w:hAnsi="Times New Roman" w:eastAsia="楷体_GB2312" w:cs="黑体"/>
          <w:bCs/>
          <w:kern w:val="0"/>
          <w:sz w:val="32"/>
          <w:szCs w:val="32"/>
        </w:rPr>
      </w:pPr>
      <w:r>
        <w:rPr>
          <w:rFonts w:hint="eastAsia" w:ascii="楷体_GB2312" w:hAnsi="Times New Roman" w:eastAsia="楷体_GB2312" w:cs="黑体"/>
          <w:bCs/>
          <w:kern w:val="0"/>
          <w:sz w:val="32"/>
          <w:szCs w:val="32"/>
          <w:highlight w:val="lightGray"/>
        </w:rPr>
        <w:t>十</w:t>
      </w:r>
      <w:r>
        <w:rPr>
          <w:rFonts w:hint="eastAsia" w:ascii="楷体_GB2312" w:hAnsi="Times New Roman" w:eastAsia="楷体_GB2312" w:cs="黑体"/>
          <w:bCs/>
          <w:kern w:val="0"/>
          <w:sz w:val="32"/>
          <w:szCs w:val="32"/>
          <w:highlight w:val="lightGray"/>
          <w:lang w:eastAsia="zh-CN"/>
        </w:rPr>
        <w:t>、</w:t>
      </w:r>
      <w:r>
        <w:rPr>
          <w:rFonts w:hint="eastAsia" w:ascii="楷体_GB2312" w:hAnsi="Times New Roman" w:eastAsia="楷体_GB2312" w:cs="仿宋_GB2312"/>
          <w:bCs/>
          <w:kern w:val="0"/>
          <w:sz w:val="32"/>
          <w:szCs w:val="32"/>
        </w:rPr>
        <w:t>机关运行经费支出情况。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2017年度机关运行经费支出</w:t>
      </w:r>
      <w:r>
        <w:rPr>
          <w:rFonts w:hint="eastAsia" w:ascii="仿宋_GB2312" w:hAnsi="宋体" w:eastAsia="仿宋_GB2312" w:cs="Courier New"/>
          <w:sz w:val="32"/>
          <w:szCs w:val="32"/>
          <w:lang w:val="en-US" w:eastAsia="zh-CN"/>
        </w:rPr>
        <w:t>463.17</w:t>
      </w:r>
      <w:r>
        <w:rPr>
          <w:rFonts w:hint="eastAsia" w:ascii="仿宋_GB2312" w:hAnsi="宋体" w:eastAsia="仿宋_GB2312" w:cs="Courier New"/>
          <w:sz w:val="32"/>
          <w:szCs w:val="32"/>
        </w:rPr>
        <w:t>万元，较2016年度</w:t>
      </w:r>
      <w:r>
        <w:rPr>
          <w:rFonts w:hint="eastAsia" w:ascii="仿宋_GB2312" w:hAnsi="宋体" w:eastAsia="仿宋_GB2312" w:cs="Courier New"/>
          <w:sz w:val="32"/>
          <w:szCs w:val="32"/>
          <w:lang w:val="en-US" w:eastAsia="zh-CN"/>
        </w:rPr>
        <w:t>增加97.17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增加26</w:t>
      </w:r>
      <w:r>
        <w:rPr>
          <w:rFonts w:ascii="仿宋_GB2312" w:hAnsi="宋体" w:eastAsia="仿宋_GB2312" w:cs="Courier New"/>
          <w:sz w:val="32"/>
          <w:szCs w:val="32"/>
        </w:rPr>
        <w:t>%</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val="en-US" w:eastAsia="zh-CN"/>
        </w:rPr>
        <w:t>是增加了设备购置及车辆购置</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left="64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highlight w:val="lightGray"/>
        </w:rPr>
        <w:t>十一</w:t>
      </w:r>
      <w:r>
        <w:rPr>
          <w:rFonts w:hint="eastAsia" w:ascii="楷体_GB2312" w:hAnsi="Times New Roman" w:eastAsia="楷体_GB2312" w:cs="仿宋_GB2312"/>
          <w:bCs/>
          <w:kern w:val="0"/>
          <w:sz w:val="32"/>
          <w:szCs w:val="32"/>
          <w:highlight w:val="lightGray"/>
          <w:lang w:eastAsia="zh-CN"/>
        </w:rPr>
        <w:t>、</w:t>
      </w:r>
      <w:r>
        <w:rPr>
          <w:rFonts w:hint="eastAsia" w:ascii="楷体_GB2312" w:hAnsi="Times New Roman" w:eastAsia="楷体_GB2312" w:cs="仿宋_GB2312"/>
          <w:bCs/>
          <w:kern w:val="0"/>
          <w:sz w:val="32"/>
          <w:szCs w:val="32"/>
        </w:rPr>
        <w:t>政府采购支出情况。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2017年度政府采购支出总额0万元</w:t>
      </w:r>
      <w:r>
        <w:rPr>
          <w:rFonts w:hint="eastAsia" w:ascii="仿宋_GB2312" w:hAnsi="宋体" w:eastAsia="仿宋_GB2312" w:cs="Courier New"/>
          <w:sz w:val="32"/>
          <w:szCs w:val="32"/>
          <w:lang w:eastAsia="zh-CN"/>
        </w:rPr>
        <w:t>。</w:t>
      </w:r>
    </w:p>
    <w:p>
      <w:p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highlight w:val="lightGray"/>
        </w:rPr>
        <w:t>十</w:t>
      </w:r>
      <w:r>
        <w:rPr>
          <w:rFonts w:hint="eastAsia" w:ascii="楷体_GB2312" w:hAnsi="Times New Roman" w:eastAsia="楷体_GB2312" w:cs="仿宋_GB2312"/>
          <w:bCs/>
          <w:kern w:val="0"/>
          <w:sz w:val="32"/>
          <w:szCs w:val="32"/>
          <w:highlight w:val="lightGray"/>
          <w:lang w:val="en-US" w:eastAsia="zh-CN"/>
        </w:rPr>
        <w:t>二、</w:t>
      </w:r>
      <w:r>
        <w:rPr>
          <w:rFonts w:hint="eastAsia" w:ascii="楷体_GB2312" w:hAnsi="Times New Roman" w:eastAsia="楷体_GB2312" w:cs="仿宋_GB2312"/>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2017年期末，县委办公室共有车辆4辆，其中：一般公务用车4辆、一般执法执勤用车0辆、特种专业技术用车0辆，其他用车0辆。</w:t>
      </w:r>
      <w:r>
        <w:rPr>
          <w:rFonts w:hint="eastAsia" w:ascii="仿宋_GB2312" w:hAnsi="仿宋_GB2312" w:eastAsia="仿宋_GB2312" w:cs="仿宋_GB2312"/>
          <w:sz w:val="32"/>
          <w:szCs w:val="32"/>
        </w:rPr>
        <w:t>单位价值50万元以上通用设备0台（套），单位价值100万元以上专用设备0台（套）。</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十三，其他重要事项的情况说明。</w:t>
      </w:r>
    </w:p>
    <w:p>
      <w:pPr>
        <w:tabs>
          <w:tab w:val="left" w:pos="2730"/>
        </w:tabs>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仿宋_GB2312" w:hAnsi="宋体" w:eastAsia="仿宋_GB2312" w:cs="Courier New"/>
          <w:sz w:val="32"/>
          <w:szCs w:val="32"/>
        </w:rPr>
        <w:t>无</w:t>
      </w:r>
      <w:r>
        <w:rPr>
          <w:rFonts w:hint="eastAsia" w:ascii="仿宋_GB2312" w:hAnsi="宋体" w:eastAsia="仿宋_GB2312" w:cs="Courier New"/>
          <w:sz w:val="32"/>
          <w:szCs w:val="32"/>
          <w:lang w:eastAsia="zh-CN"/>
        </w:rPr>
        <w:t>。</w:t>
      </w:r>
      <w:r>
        <w:rPr>
          <w:rFonts w:ascii="仿宋_GB2312" w:hAnsi="宋体" w:eastAsia="仿宋_GB2312" w:cs="Courier New"/>
          <w:sz w:val="32"/>
          <w:szCs w:val="32"/>
        </w:rPr>
        <w:tab/>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隶书" w:hAnsi="隶书" w:eastAsia="隶书" w:cs="隶书"/>
          <w:sz w:val="48"/>
          <w:szCs w:val="48"/>
        </w:rPr>
        <w:t>第四部分　　名词解释</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黑体" w:hAnsi="仿宋_GB2312" w:eastAsia="黑体"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440" w:right="1531" w:bottom="1440" w:left="1587" w:header="850"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隶书">
    <w:altName w:val="宋体"/>
    <w:panose1 w:val="0201050906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w:pict>
        <v:rect id="文本框 6" o:spid="_x0000_s4097" o:spt="1" style="position:absolute;left:0pt;margin-top:0pt;height:11pt;width:4.6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- 19 -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2">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3">
    <w:nsid w:val="5971E093"/>
    <w:multiLevelType w:val="singleLevel"/>
    <w:tmpl w:val="5971E093"/>
    <w:lvl w:ilvl="0" w:tentative="0">
      <w:start w:val="1"/>
      <w:numFmt w:val="chineseCounting"/>
      <w:suff w:val="nothing"/>
      <w:lvlText w:val="（%1）"/>
      <w:lvlJc w:val="left"/>
      <w:pPr>
        <w:ind w:left="0" w:firstLine="420"/>
      </w:pPr>
      <w:rPr>
        <w:rFonts w:hint="eastAsia"/>
      </w:rPr>
    </w:lvl>
  </w:abstractNum>
  <w:abstractNum w:abstractNumId="4">
    <w:nsid w:val="5971E776"/>
    <w:multiLevelType w:val="singleLevel"/>
    <w:tmpl w:val="5971E776"/>
    <w:lvl w:ilvl="0" w:tentative="0">
      <w:start w:val="1"/>
      <w:numFmt w:val="chineseCounting"/>
      <w:suff w:val="nothing"/>
      <w:lvlText w:val="（%1）"/>
      <w:lvlJc w:val="left"/>
      <w:pPr>
        <w:ind w:left="0" w:firstLine="420"/>
      </w:pPr>
      <w:rPr>
        <w:rFonts w:hint="eastAsia"/>
      </w:rPr>
    </w:lvl>
  </w:abstractNum>
  <w:abstractNum w:abstractNumId="5">
    <w:nsid w:val="5A17D064"/>
    <w:multiLevelType w:val="singleLevel"/>
    <w:tmpl w:val="5A17D064"/>
    <w:lvl w:ilvl="0" w:tentative="0">
      <w:start w:val="1"/>
      <w:numFmt w:val="chineseCounting"/>
      <w:suff w:val="nothing"/>
      <w:lvlText w:val="第%1部"/>
      <w:lvlJc w:val="left"/>
    </w:lvl>
  </w:abstractNum>
  <w:abstractNum w:abstractNumId="6">
    <w:nsid w:val="5B0A692E"/>
    <w:multiLevelType w:val="multilevel"/>
    <w:tmpl w:val="5B0A692E"/>
    <w:lvl w:ilvl="0" w:tentative="0">
      <w:start w:val="1"/>
      <w:numFmt w:val="decimal"/>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lvlOverride w:ilvl="0">
      <w:startOverride w:val="1"/>
    </w:lvlOverride>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17"/>
  <w:displayHorizontalDrawingGridEvery w:val="2"/>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453D6"/>
    <w:rsid w:val="000466AB"/>
    <w:rsid w:val="000B5A03"/>
    <w:rsid w:val="000D57DD"/>
    <w:rsid w:val="001150B0"/>
    <w:rsid w:val="00115237"/>
    <w:rsid w:val="00134811"/>
    <w:rsid w:val="00172A27"/>
    <w:rsid w:val="001C48C7"/>
    <w:rsid w:val="00217B4C"/>
    <w:rsid w:val="00256DE0"/>
    <w:rsid w:val="00286B0D"/>
    <w:rsid w:val="002929B4"/>
    <w:rsid w:val="00295EBC"/>
    <w:rsid w:val="002A02BE"/>
    <w:rsid w:val="002E2D3C"/>
    <w:rsid w:val="002F5F1F"/>
    <w:rsid w:val="00354DD5"/>
    <w:rsid w:val="003922D1"/>
    <w:rsid w:val="003B277B"/>
    <w:rsid w:val="003C1145"/>
    <w:rsid w:val="004D379A"/>
    <w:rsid w:val="00534F6B"/>
    <w:rsid w:val="00562DB1"/>
    <w:rsid w:val="005A7024"/>
    <w:rsid w:val="005A7E58"/>
    <w:rsid w:val="00620FC2"/>
    <w:rsid w:val="006458E0"/>
    <w:rsid w:val="0066578B"/>
    <w:rsid w:val="006A3527"/>
    <w:rsid w:val="006A7F0C"/>
    <w:rsid w:val="006F490D"/>
    <w:rsid w:val="00770BD4"/>
    <w:rsid w:val="007A124F"/>
    <w:rsid w:val="0080516B"/>
    <w:rsid w:val="008355D6"/>
    <w:rsid w:val="008D09D8"/>
    <w:rsid w:val="009108DE"/>
    <w:rsid w:val="009370BA"/>
    <w:rsid w:val="00951D46"/>
    <w:rsid w:val="00A15D40"/>
    <w:rsid w:val="00A24F0E"/>
    <w:rsid w:val="00A467BE"/>
    <w:rsid w:val="00A50691"/>
    <w:rsid w:val="00AC13C3"/>
    <w:rsid w:val="00B458CF"/>
    <w:rsid w:val="00B60E9C"/>
    <w:rsid w:val="00C00C5F"/>
    <w:rsid w:val="00C24CC2"/>
    <w:rsid w:val="00C364BB"/>
    <w:rsid w:val="00C51616"/>
    <w:rsid w:val="00CD71F9"/>
    <w:rsid w:val="00D30125"/>
    <w:rsid w:val="00D45184"/>
    <w:rsid w:val="00D75901"/>
    <w:rsid w:val="00DB57CF"/>
    <w:rsid w:val="00E03CEB"/>
    <w:rsid w:val="00E81848"/>
    <w:rsid w:val="00EC2291"/>
    <w:rsid w:val="00EF43FD"/>
    <w:rsid w:val="00F33F2D"/>
    <w:rsid w:val="00FA0738"/>
    <w:rsid w:val="03AF0843"/>
    <w:rsid w:val="04453648"/>
    <w:rsid w:val="04D97187"/>
    <w:rsid w:val="0569096D"/>
    <w:rsid w:val="05DB00B9"/>
    <w:rsid w:val="0648025C"/>
    <w:rsid w:val="09BB2134"/>
    <w:rsid w:val="0A2D1A83"/>
    <w:rsid w:val="0CA434B9"/>
    <w:rsid w:val="0E4C156E"/>
    <w:rsid w:val="0F095976"/>
    <w:rsid w:val="10A41891"/>
    <w:rsid w:val="10BD4691"/>
    <w:rsid w:val="11585E8B"/>
    <w:rsid w:val="134F2166"/>
    <w:rsid w:val="13C74B25"/>
    <w:rsid w:val="15492582"/>
    <w:rsid w:val="163E358F"/>
    <w:rsid w:val="18F44D57"/>
    <w:rsid w:val="1928573B"/>
    <w:rsid w:val="19B83B42"/>
    <w:rsid w:val="1D311679"/>
    <w:rsid w:val="1D415527"/>
    <w:rsid w:val="1E4317C5"/>
    <w:rsid w:val="1E7D3B34"/>
    <w:rsid w:val="20695A3B"/>
    <w:rsid w:val="22465B64"/>
    <w:rsid w:val="229767E6"/>
    <w:rsid w:val="22A51050"/>
    <w:rsid w:val="23043EB9"/>
    <w:rsid w:val="23FE0418"/>
    <w:rsid w:val="26F43175"/>
    <w:rsid w:val="283D43BA"/>
    <w:rsid w:val="29B70F08"/>
    <w:rsid w:val="2B36148E"/>
    <w:rsid w:val="2BA4769A"/>
    <w:rsid w:val="2C317D95"/>
    <w:rsid w:val="2CD06EF4"/>
    <w:rsid w:val="2F1177B0"/>
    <w:rsid w:val="2F335194"/>
    <w:rsid w:val="30963758"/>
    <w:rsid w:val="32EF40CE"/>
    <w:rsid w:val="34920D5F"/>
    <w:rsid w:val="35AB7798"/>
    <w:rsid w:val="372974AC"/>
    <w:rsid w:val="37515EC2"/>
    <w:rsid w:val="385E6C63"/>
    <w:rsid w:val="385F290D"/>
    <w:rsid w:val="386177F5"/>
    <w:rsid w:val="3949702E"/>
    <w:rsid w:val="3BE408BA"/>
    <w:rsid w:val="3C7F703B"/>
    <w:rsid w:val="3D70189E"/>
    <w:rsid w:val="416A0E2F"/>
    <w:rsid w:val="42271DDB"/>
    <w:rsid w:val="43910C0D"/>
    <w:rsid w:val="43E1055C"/>
    <w:rsid w:val="448809AD"/>
    <w:rsid w:val="453758D2"/>
    <w:rsid w:val="48B52937"/>
    <w:rsid w:val="48EE3EF3"/>
    <w:rsid w:val="498A7E41"/>
    <w:rsid w:val="4B87032B"/>
    <w:rsid w:val="4C1E2F28"/>
    <w:rsid w:val="4C8075C6"/>
    <w:rsid w:val="4CFC29CC"/>
    <w:rsid w:val="4D6E1856"/>
    <w:rsid w:val="4FFE333B"/>
    <w:rsid w:val="502C04C1"/>
    <w:rsid w:val="51DE24AB"/>
    <w:rsid w:val="54D2566F"/>
    <w:rsid w:val="5651051D"/>
    <w:rsid w:val="56EC004A"/>
    <w:rsid w:val="578852E5"/>
    <w:rsid w:val="57E961A8"/>
    <w:rsid w:val="58097E19"/>
    <w:rsid w:val="581E77CF"/>
    <w:rsid w:val="58B06254"/>
    <w:rsid w:val="5AF25131"/>
    <w:rsid w:val="5BD402AF"/>
    <w:rsid w:val="5C3D03A1"/>
    <w:rsid w:val="5C922E69"/>
    <w:rsid w:val="5CDB7C0C"/>
    <w:rsid w:val="600176AC"/>
    <w:rsid w:val="63CF4927"/>
    <w:rsid w:val="65332BB8"/>
    <w:rsid w:val="664A46E0"/>
    <w:rsid w:val="66755D81"/>
    <w:rsid w:val="68A121F7"/>
    <w:rsid w:val="68A9241E"/>
    <w:rsid w:val="6ACC27B6"/>
    <w:rsid w:val="6B6D695A"/>
    <w:rsid w:val="6D161109"/>
    <w:rsid w:val="6E595C3A"/>
    <w:rsid w:val="6FD41D7F"/>
    <w:rsid w:val="72416639"/>
    <w:rsid w:val="738C1FE2"/>
    <w:rsid w:val="75531EF6"/>
    <w:rsid w:val="75D0003D"/>
    <w:rsid w:val="764F7877"/>
    <w:rsid w:val="76852B6D"/>
    <w:rsid w:val="7AA141FF"/>
    <w:rsid w:val="7C445B57"/>
    <w:rsid w:val="7D713C10"/>
    <w:rsid w:val="7F8E5F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eastAsia="仿宋_GB2312" w:cs="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List Paragraph"/>
    <w:basedOn w:val="1"/>
    <w:uiPriority w:val="99"/>
    <w:pPr>
      <w:ind w:firstLine="420" w:firstLineChars="200"/>
    </w:pPr>
  </w:style>
  <w:style w:type="character" w:customStyle="1" w:styleId="8">
    <w:name w:val="font31"/>
    <w:basedOn w:val="5"/>
    <w:qFormat/>
    <w:uiPriority w:val="0"/>
    <w:rPr>
      <w:rFonts w:ascii="Arial" w:hAnsi="Arial" w:cs="Arial"/>
      <w:color w:val="000000"/>
      <w:sz w:val="16"/>
      <w:szCs w:val="16"/>
      <w:u w:val="none"/>
    </w:rPr>
  </w:style>
  <w:style w:type="character" w:customStyle="1" w:styleId="9">
    <w:name w:val="font01"/>
    <w:basedOn w:val="5"/>
    <w:qFormat/>
    <w:uiPriority w:val="0"/>
    <w:rPr>
      <w:rFonts w:hint="default" w:ascii="Arial" w:hAnsi="Arial" w:cs="Arial"/>
      <w:color w:val="000000"/>
      <w:sz w:val="16"/>
      <w:szCs w:val="16"/>
      <w:u w:val="none"/>
    </w:rPr>
  </w:style>
  <w:style w:type="character" w:customStyle="1" w:styleId="10">
    <w:name w:val="font4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1396</Words>
  <Characters>7959</Characters>
  <Lines>66</Lines>
  <Paragraphs>18</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2018-09-28T01:22:00Z</dcterms:created>
  <dc:creator>wsj</dc:creator>
  <cp:lastModifiedBy>Administrator</cp:lastModifiedBy>
  <cp:lastPrinted>2017-10-13T01:30:00Z</cp:lastPrinted>
  <dcterms:modified xsi:type="dcterms:W3CDTF">2018-10-02T05:03:45Z</dcterms:modified>
  <dc:title>中共台前县委办公室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