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隶书" w:hAnsi="隶书" w:eastAsia="隶书" w:cs="隶书"/>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台前县环境保护局</w:t>
      </w:r>
    </w:p>
    <w:p>
      <w:pPr>
        <w:jc w:val="center"/>
        <w:rPr>
          <w:rFonts w:hint="eastAsia" w:ascii="隶书" w:hAnsi="隶书" w:eastAsia="隶书" w:cs="隶书"/>
          <w:sz w:val="52"/>
          <w:szCs w:val="52"/>
        </w:rPr>
      </w:pPr>
      <w:r>
        <w:rPr>
          <w:rFonts w:hint="eastAsia" w:ascii="隶书" w:hAnsi="隶书" w:eastAsia="隶书" w:cs="隶书"/>
          <w:sz w:val="52"/>
          <w:szCs w:val="52"/>
        </w:rPr>
        <w:t>201</w:t>
      </w:r>
      <w:r>
        <w:rPr>
          <w:rFonts w:hint="eastAsia" w:ascii="隶书" w:hAnsi="隶书" w:eastAsia="隶书" w:cs="隶书"/>
          <w:sz w:val="52"/>
          <w:szCs w:val="52"/>
          <w:lang w:val="en-US" w:eastAsia="zh-CN"/>
        </w:rPr>
        <w:t>7</w:t>
      </w:r>
      <w:r>
        <w:rPr>
          <w:rFonts w:hint="eastAsia" w:ascii="隶书" w:hAnsi="隶书" w:eastAsia="隶书" w:cs="隶书"/>
          <w:sz w:val="52"/>
          <w:szCs w:val="52"/>
        </w:rPr>
        <w:t>年度部门决算</w:t>
      </w: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lang w:val="en-US" w:eastAsia="zh-CN"/>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仿宋_GB2312" w:hAnsi="仿宋_GB2312" w:eastAsia="仿宋_GB2312" w:cs="仿宋_GB2312"/>
          <w:b/>
          <w:bCs/>
          <w:sz w:val="32"/>
          <w:szCs w:val="32"/>
          <w:lang w:eastAsia="zh-CN"/>
        </w:rPr>
        <w:sectPr>
          <w:pgSz w:w="11906" w:h="16838"/>
          <w:pgMar w:top="1440" w:right="1531" w:bottom="1440" w:left="1587" w:header="850" w:footer="992" w:gutter="0"/>
          <w:pgNumType w:fmt="numberInDash"/>
          <w:cols w:space="720" w:num="1"/>
          <w:docGrid w:type="lines" w:linePitch="317" w:charSpace="0"/>
        </w:sectPr>
      </w:pPr>
      <w:r>
        <w:rPr>
          <w:rFonts w:hint="eastAsia" w:ascii="仿宋_GB2312" w:hAnsi="仿宋_GB2312" w:eastAsia="仿宋_GB2312" w:cs="仿宋_GB2312"/>
          <w:b/>
          <w:bCs/>
          <w:sz w:val="32"/>
          <w:szCs w:val="32"/>
        </w:rPr>
        <w:t>二〇一八年九</w:t>
      </w:r>
      <w:r>
        <w:rPr>
          <w:rFonts w:hint="eastAsia" w:ascii="仿宋_GB2312" w:hAnsi="仿宋_GB2312" w:eastAsia="仿宋_GB2312" w:cs="仿宋_GB2312"/>
          <w:b/>
          <w:bCs/>
          <w:sz w:val="32"/>
          <w:szCs w:val="32"/>
          <w:lang w:eastAsia="zh-CN"/>
        </w:rPr>
        <w:t>月</w:t>
      </w:r>
    </w:p>
    <w:p>
      <w:pPr>
        <w:jc w:val="both"/>
        <w:rPr>
          <w:rFonts w:hint="eastAsia" w:ascii="黑体" w:hAnsi="黑体" w:eastAsia="黑体" w:cs="黑体"/>
          <w:sz w:val="36"/>
          <w:szCs w:val="36"/>
          <w:lang w:val="en-US" w:eastAsia="zh-CN"/>
        </w:rPr>
      </w:pP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环保局局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w:t>
      </w:r>
      <w:r>
        <w:rPr>
          <w:rFonts w:hint="eastAsia" w:ascii="黑体" w:hAnsi="黑体" w:eastAsia="黑体" w:cs="黑体"/>
          <w:color w:val="auto"/>
          <w:sz w:val="32"/>
          <w:szCs w:val="32"/>
          <w:highlight w:val="none"/>
          <w:lang w:eastAsia="zh-CN"/>
        </w:rPr>
        <w:t>环保局2017年度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hint="eastAsia" w:ascii="黑体" w:hAnsi="黑体" w:eastAsia="黑体" w:cs="黑体"/>
          <w:color w:val="auto"/>
          <w:sz w:val="32"/>
          <w:szCs w:val="32"/>
          <w:highlight w:val="none"/>
          <w:lang w:eastAsia="zh-CN"/>
        </w:rPr>
        <w:t>环保局2017年度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spacing w:beforeLines="0" w:afterLines="0"/>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十三、</w:t>
      </w:r>
      <w:r>
        <w:rPr>
          <w:rFonts w:hint="eastAsia" w:ascii="宋体" w:hAnsi="宋体" w:eastAsia="宋体" w:cs="宋体"/>
          <w:sz w:val="32"/>
        </w:rPr>
        <w:t>其他重要事项的情况说明</w:t>
      </w:r>
    </w:p>
    <w:p>
      <w:pPr>
        <w:jc w:val="left"/>
        <w:rPr>
          <w:rFonts w:ascii="黑体" w:hAnsi="黑体" w:eastAsia="黑体" w:cs="黑体"/>
          <w:color w:val="auto"/>
          <w:sz w:val="32"/>
          <w:szCs w:val="32"/>
          <w:highlight w:val="none"/>
        </w:rPr>
        <w:sectPr>
          <w:footerReference r:id="rId3" w:type="default"/>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docGrid w:type="lines" w:linePitch="317" w:charSpace="0"/>
        </w:sectPr>
      </w:pPr>
      <w:r>
        <w:rPr>
          <w:rFonts w:hint="eastAsia" w:ascii="隶书" w:hAnsi="隶书" w:eastAsia="隶书" w:cs="隶书"/>
          <w:sz w:val="48"/>
          <w:szCs w:val="48"/>
        </w:rPr>
        <w:t>第一部分　　环保局概况</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主要职责</w:t>
      </w:r>
    </w:p>
    <w:p>
      <w:pPr>
        <w:pStyle w:val="13"/>
        <w:ind w:left="420" w:firstLine="320" w:firstLineChars="100"/>
        <w:rPr>
          <w:rStyle w:val="7"/>
          <w:rFonts w:ascii="微软雅黑" w:hAnsi="微软雅黑" w:eastAsia="微软雅黑" w:cs="微软雅黑"/>
          <w:kern w:val="0"/>
          <w:sz w:val="24"/>
        </w:rPr>
      </w:pPr>
      <w:r>
        <w:rPr>
          <w:rFonts w:hint="eastAsia" w:ascii="仿宋_GB2312" w:hAnsi="Calibri" w:eastAsia="仿宋_GB2312" w:cs="仿宋_GB2312"/>
          <w:sz w:val="32"/>
          <w:szCs w:val="32"/>
        </w:rPr>
        <w:t>主要职能</w:t>
      </w:r>
    </w:p>
    <w:p>
      <w:pPr>
        <w:pStyle w:val="13"/>
        <w:rPr>
          <w:rFonts w:ascii="仿宋_GB2312" w:eastAsia="仿宋_GB2312" w:cs="仿宋_GB2312"/>
          <w:sz w:val="32"/>
          <w:szCs w:val="32"/>
        </w:rPr>
      </w:pPr>
      <w:r>
        <w:rPr>
          <w:rFonts w:hint="eastAsia" w:ascii="仿宋_GB2312" w:hAnsi="Calibri" w:eastAsia="仿宋_GB2312" w:cs="仿宋_GB2312"/>
          <w:sz w:val="32"/>
          <w:szCs w:val="32"/>
        </w:rPr>
        <w:t>1.贯彻执行国家、省、市环境保护的法律、法规和方针、政策，起草环境保护规范性文件。</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2.负责全县重大环境问题的统筹协调和监督管理。</w:t>
      </w:r>
    </w:p>
    <w:p>
      <w:pPr>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3.参与指导和推动循环经济和环保产业发展。</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4.从源头上预防、控制环境污染和环境破坏。</w:t>
      </w:r>
    </w:p>
    <w:p>
      <w:pPr>
        <w:pStyle w:val="13"/>
        <w:rPr>
          <w:rFonts w:ascii="仿宋_GB2312" w:eastAsia="仿宋_GB2312" w:cs="仿宋_GB2312"/>
          <w:sz w:val="32"/>
          <w:szCs w:val="32"/>
        </w:rPr>
      </w:pPr>
      <w:r>
        <w:rPr>
          <w:rFonts w:hint="eastAsia" w:ascii="仿宋_GB2312" w:hAnsi="Calibri" w:eastAsia="仿宋_GB2312" w:cs="仿宋_GB2312"/>
          <w:sz w:val="32"/>
          <w:szCs w:val="32"/>
        </w:rPr>
        <w:t>5.负责全县环境污染防治的监督管理。</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6.指导、协调、监督全县生态保护工作。</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7.负责全县核安全和辐射安全的监督管理。</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8.负责环境监测和信息发布。</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9.开展环境保护科技工作。</w:t>
      </w:r>
    </w:p>
    <w:p>
      <w:pPr>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10.组织、指导和协调环境保护宣传教育工作。</w:t>
      </w:r>
    </w:p>
    <w:p>
      <w:pPr>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11.承办县政府交办的其他事项。</w:t>
      </w:r>
    </w:p>
    <w:p>
      <w:pPr>
        <w:ind w:firstLine="640" w:firstLineChars="200"/>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内设机构：</w:t>
      </w:r>
    </w:p>
    <w:p>
      <w:pPr>
        <w:numPr>
          <w:ilvl w:val="0"/>
          <w:numId w:val="3"/>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纳入环保局2016年度部门决算编制范围的单位包括：</w:t>
      </w:r>
    </w:p>
    <w:p>
      <w:pPr>
        <w:numPr>
          <w:ilvl w:val="0"/>
          <w:numId w:val="0"/>
        </w:num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环保局局本级及二级机构</w:t>
      </w:r>
    </w:p>
    <w:p>
      <w:pPr>
        <w:numPr>
          <w:ilvl w:val="0"/>
          <w:numId w:val="0"/>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台前县环境监测站</w:t>
      </w:r>
    </w:p>
    <w:p>
      <w:pPr>
        <w:numPr>
          <w:ilvl w:val="0"/>
          <w:numId w:val="0"/>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环境监察大队</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环保局201</w:t>
      </w:r>
      <w:r>
        <w:rPr>
          <w:rFonts w:hint="eastAsia" w:ascii="隶书" w:hAnsi="隶书" w:eastAsia="隶书" w:cs="隶书"/>
          <w:sz w:val="48"/>
          <w:szCs w:val="48"/>
          <w:lang w:val="en-US" w:eastAsia="zh-CN"/>
        </w:rPr>
        <w:t>7</w:t>
      </w:r>
      <w:r>
        <w:rPr>
          <w:rFonts w:hint="eastAsia" w:ascii="隶书" w:hAnsi="隶书" w:eastAsia="隶书" w:cs="隶书"/>
          <w:sz w:val="48"/>
          <w:szCs w:val="48"/>
        </w:rPr>
        <w:t>年度部门决算表</w:t>
      </w:r>
    </w:p>
    <w:tbl>
      <w:tblPr>
        <w:tblStyle w:val="8"/>
        <w:tblW w:w="10350" w:type="dxa"/>
        <w:tblInd w:w="-1040" w:type="dxa"/>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472" w:type="dxa"/>
            <w:shd w:val="clear" w:color="auto" w:fill="auto"/>
            <w:vAlign w:val="center"/>
          </w:tcPr>
          <w:p>
            <w:pPr>
              <w:rPr>
                <w:rFonts w:ascii="宋体" w:hAnsi="宋体" w:eastAsia="宋体" w:cs="宋体"/>
                <w:color w:val="000000"/>
                <w:sz w:val="16"/>
                <w:szCs w:val="16"/>
              </w:rPr>
            </w:pPr>
          </w:p>
        </w:tc>
        <w:tc>
          <w:tcPr>
            <w:tcW w:w="1316" w:type="dxa"/>
            <w:shd w:val="clear" w:color="auto" w:fill="auto"/>
            <w:vAlign w:val="center"/>
          </w:tcPr>
          <w:p>
            <w:pPr>
              <w:rPr>
                <w:rFonts w:ascii="宋体" w:hAnsi="宋体" w:eastAsia="宋体" w:cs="宋体"/>
                <w:color w:val="000000"/>
                <w:sz w:val="16"/>
                <w:szCs w:val="16"/>
              </w:rPr>
            </w:pPr>
          </w:p>
        </w:tc>
        <w:tc>
          <w:tcPr>
            <w:tcW w:w="3144" w:type="dxa"/>
            <w:gridSpan w:val="3"/>
            <w:shd w:val="clear" w:color="auto" w:fill="auto"/>
            <w:vAlign w:val="center"/>
          </w:tcPr>
          <w:p>
            <w:pPr>
              <w:rPr>
                <w:rFonts w:ascii="宋体" w:hAnsi="宋体" w:eastAsia="宋体" w:cs="宋体"/>
                <w:color w:val="000000"/>
                <w:sz w:val="16"/>
                <w:szCs w:val="16"/>
              </w:rPr>
            </w:pPr>
          </w:p>
        </w:tc>
        <w:tc>
          <w:tcPr>
            <w:tcW w:w="527" w:type="dxa"/>
            <w:shd w:val="clear" w:color="auto" w:fill="auto"/>
            <w:vAlign w:val="center"/>
          </w:tcPr>
          <w:p>
            <w:pPr>
              <w:rPr>
                <w:rFonts w:ascii="宋体" w:hAnsi="宋体" w:eastAsia="宋体" w:cs="宋体"/>
                <w:color w:val="000000"/>
                <w:sz w:val="16"/>
                <w:szCs w:val="16"/>
              </w:rPr>
            </w:pPr>
          </w:p>
        </w:tc>
        <w:tc>
          <w:tcPr>
            <w:tcW w:w="1609"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blPrEx>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ascii="宋体" w:hAnsi="宋体" w:eastAsia="宋体" w:cs="宋体"/>
                <w:color w:val="000000"/>
                <w:sz w:val="16"/>
                <w:szCs w:val="16"/>
              </w:rPr>
            </w:pPr>
          </w:p>
        </w:tc>
        <w:tc>
          <w:tcPr>
            <w:tcW w:w="472" w:type="dxa"/>
            <w:shd w:val="clear" w:color="auto" w:fill="auto"/>
            <w:vAlign w:val="center"/>
          </w:tcPr>
          <w:p>
            <w:pPr>
              <w:rPr>
                <w:rFonts w:ascii="宋体" w:hAnsi="宋体" w:eastAsia="宋体" w:cs="宋体"/>
                <w:color w:val="000000"/>
                <w:sz w:val="16"/>
                <w:szCs w:val="16"/>
              </w:rPr>
            </w:pPr>
          </w:p>
        </w:tc>
        <w:tc>
          <w:tcPr>
            <w:tcW w:w="1316" w:type="dxa"/>
            <w:shd w:val="clear" w:color="auto" w:fill="auto"/>
            <w:vAlign w:val="center"/>
          </w:tcPr>
          <w:p>
            <w:pPr>
              <w:rPr>
                <w:rFonts w:ascii="宋体" w:hAnsi="宋体" w:eastAsia="宋体" w:cs="宋体"/>
                <w:color w:val="000000"/>
                <w:sz w:val="16"/>
                <w:szCs w:val="16"/>
              </w:rPr>
            </w:pPr>
          </w:p>
        </w:tc>
        <w:tc>
          <w:tcPr>
            <w:tcW w:w="3144" w:type="dxa"/>
            <w:gridSpan w:val="3"/>
            <w:shd w:val="clear" w:color="auto" w:fill="auto"/>
            <w:vAlign w:val="center"/>
          </w:tcPr>
          <w:p>
            <w:pPr>
              <w:rPr>
                <w:rFonts w:ascii="宋体" w:hAnsi="宋体" w:eastAsia="宋体" w:cs="宋体"/>
                <w:color w:val="000000"/>
                <w:sz w:val="16"/>
                <w:szCs w:val="16"/>
              </w:rPr>
            </w:pPr>
          </w:p>
        </w:tc>
        <w:tc>
          <w:tcPr>
            <w:tcW w:w="527" w:type="dxa"/>
            <w:shd w:val="clear" w:color="auto" w:fill="auto"/>
            <w:vAlign w:val="center"/>
          </w:tcPr>
          <w:p>
            <w:pPr>
              <w:rPr>
                <w:rFonts w:ascii="宋体" w:hAnsi="宋体" w:eastAsia="宋体" w:cs="宋体"/>
                <w:color w:val="000000"/>
                <w:sz w:val="16"/>
                <w:szCs w:val="16"/>
              </w:rPr>
            </w:pPr>
          </w:p>
        </w:tc>
        <w:tc>
          <w:tcPr>
            <w:tcW w:w="1609"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lang w:val="en-US"/>
              </w:rPr>
            </w:pPr>
            <w:r>
              <w:rPr>
                <w:rFonts w:hint="eastAsia" w:ascii="宋体" w:hAnsi="宋体" w:eastAsia="宋体" w:cs="宋体"/>
                <w:color w:val="000000"/>
                <w:sz w:val="16"/>
                <w:szCs w:val="16"/>
                <w:lang w:val="en-US" w:eastAsia="zh-CN"/>
              </w:rPr>
              <w:t>1600.98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color w:val="000000"/>
                <w:sz w:val="16"/>
                <w:szCs w:val="16"/>
                <w:lang w:eastAsia="zh-CN"/>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color w:val="000000"/>
                <w:sz w:val="16"/>
                <w:szCs w:val="16"/>
                <w:lang w:val="en-US" w:eastAsia="zh-CN"/>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1502.58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98.4</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lang w:val="en-US"/>
              </w:rPr>
            </w:pPr>
            <w:r>
              <w:rPr>
                <w:rFonts w:hint="eastAsia" w:ascii="宋体" w:hAnsi="宋体" w:eastAsia="宋体" w:cs="宋体"/>
                <w:color w:val="000000"/>
                <w:sz w:val="16"/>
                <w:szCs w:val="16"/>
                <w:lang w:val="en-US" w:eastAsia="zh-CN"/>
              </w:rPr>
              <w:t>1600.98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b/>
                <w:color w:val="000000"/>
                <w:sz w:val="16"/>
                <w:szCs w:val="16"/>
                <w:lang w:val="en-US"/>
              </w:rPr>
            </w:pPr>
            <w:r>
              <w:rPr>
                <w:rFonts w:hint="eastAsia" w:ascii="宋体" w:hAnsi="宋体" w:eastAsia="宋体" w:cs="宋体"/>
                <w:color w:val="000000"/>
                <w:sz w:val="16"/>
                <w:szCs w:val="16"/>
                <w:lang w:val="en-US" w:eastAsia="zh-CN"/>
              </w:rPr>
              <w:t>1600.98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b/>
                <w:color w:val="000000"/>
                <w:sz w:val="16"/>
                <w:szCs w:val="16"/>
                <w:lang w:val="en-US"/>
              </w:rPr>
            </w:pPr>
            <w:r>
              <w:rPr>
                <w:rFonts w:hint="eastAsia" w:ascii="宋体" w:hAnsi="宋体" w:eastAsia="宋体" w:cs="宋体"/>
                <w:color w:val="000000"/>
                <w:sz w:val="16"/>
                <w:szCs w:val="16"/>
                <w:lang w:val="en-US" w:eastAsia="zh-CN"/>
              </w:rPr>
              <w:t>1600.98</w:t>
            </w:r>
          </w:p>
        </w:tc>
        <w:tc>
          <w:tcPr>
            <w:tcW w:w="2325"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b/>
                <w:color w:val="000000"/>
                <w:sz w:val="16"/>
                <w:szCs w:val="16"/>
                <w:lang w:val="en-US"/>
              </w:rPr>
            </w:pPr>
            <w:r>
              <w:rPr>
                <w:rFonts w:hint="eastAsia" w:ascii="宋体" w:hAnsi="宋体" w:eastAsia="宋体" w:cs="宋体"/>
                <w:color w:val="000000"/>
                <w:sz w:val="16"/>
                <w:szCs w:val="16"/>
                <w:lang w:val="en-US" w:eastAsia="zh-CN"/>
              </w:rPr>
              <w:t>1600.98</w:t>
            </w:r>
          </w:p>
        </w:tc>
      </w:tr>
      <w:tr>
        <w:tblPrEx>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8"/>
        <w:tblW w:w="10337" w:type="dxa"/>
        <w:tblInd w:w="-827" w:type="dxa"/>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Layout w:type="fixed"/>
          <w:tblCellMar>
            <w:top w:w="15" w:type="dxa"/>
            <w:left w:w="15" w:type="dxa"/>
            <w:bottom w:w="15" w:type="dxa"/>
            <w:right w:w="15" w:type="dxa"/>
          </w:tblCellMar>
        </w:tblPrEx>
        <w:trPr>
          <w:trHeight w:val="375" w:hRule="atLeast"/>
        </w:trPr>
        <w:tc>
          <w:tcPr>
            <w:tcW w:w="10337" w:type="dxa"/>
            <w:gridSpan w:val="16"/>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Layout w:type="fixed"/>
          <w:tblCellMar>
            <w:top w:w="15" w:type="dxa"/>
            <w:left w:w="15" w:type="dxa"/>
            <w:bottom w:w="15" w:type="dxa"/>
            <w:right w:w="15" w:type="dxa"/>
          </w:tblCellMar>
        </w:tblPrEx>
        <w:trPr>
          <w:trHeight w:val="285" w:hRule="atLeast"/>
        </w:trPr>
        <w:tc>
          <w:tcPr>
            <w:tcW w:w="1637" w:type="dxa"/>
            <w:gridSpan w:val="2"/>
            <w:shd w:val="clear" w:color="auto" w:fill="auto"/>
            <w:vAlign w:val="center"/>
          </w:tcPr>
          <w:p>
            <w:pPr>
              <w:rPr>
                <w:rFonts w:ascii="宋体" w:hAnsi="宋体" w:eastAsia="宋体" w:cs="宋体"/>
                <w:color w:val="000000"/>
                <w:sz w:val="16"/>
                <w:szCs w:val="16"/>
              </w:rPr>
            </w:pPr>
          </w:p>
        </w:tc>
        <w:tc>
          <w:tcPr>
            <w:tcW w:w="1036" w:type="dxa"/>
            <w:shd w:val="clear" w:color="auto" w:fill="auto"/>
            <w:vAlign w:val="center"/>
          </w:tcPr>
          <w:p>
            <w:pPr>
              <w:rPr>
                <w:rFonts w:ascii="宋体" w:hAnsi="宋体" w:eastAsia="宋体" w:cs="宋体"/>
                <w:color w:val="000000"/>
                <w:sz w:val="16"/>
                <w:szCs w:val="16"/>
              </w:rPr>
            </w:pPr>
          </w:p>
        </w:tc>
        <w:tc>
          <w:tcPr>
            <w:tcW w:w="1904"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公开02表</w:t>
            </w:r>
          </w:p>
        </w:tc>
      </w:tr>
      <w:tr>
        <w:tblPrEx>
          <w:tblLayout w:type="fixed"/>
          <w:tblCellMar>
            <w:top w:w="15" w:type="dxa"/>
            <w:left w:w="15" w:type="dxa"/>
            <w:bottom w:w="15" w:type="dxa"/>
            <w:right w:w="15" w:type="dxa"/>
          </w:tblCellMar>
        </w:tblPrEx>
        <w:trPr>
          <w:trHeight w:val="270" w:hRule="atLeast"/>
        </w:trPr>
        <w:tc>
          <w:tcPr>
            <w:tcW w:w="1637" w:type="dxa"/>
            <w:gridSpan w:val="2"/>
            <w:shd w:val="clear" w:color="auto" w:fill="auto"/>
            <w:vAlign w:val="center"/>
          </w:tcPr>
          <w:p>
            <w:pPr>
              <w:rPr>
                <w:rFonts w:ascii="宋体" w:hAnsi="宋体" w:eastAsia="宋体" w:cs="宋体"/>
                <w:color w:val="000000"/>
                <w:sz w:val="16"/>
                <w:szCs w:val="16"/>
              </w:rPr>
            </w:pPr>
          </w:p>
        </w:tc>
        <w:tc>
          <w:tcPr>
            <w:tcW w:w="1036" w:type="dxa"/>
            <w:shd w:val="clear" w:color="auto" w:fill="auto"/>
            <w:vAlign w:val="center"/>
          </w:tcPr>
          <w:p>
            <w:pPr>
              <w:rPr>
                <w:rFonts w:ascii="宋体" w:hAnsi="宋体" w:eastAsia="宋体" w:cs="宋体"/>
                <w:color w:val="000000"/>
                <w:sz w:val="16"/>
                <w:szCs w:val="16"/>
              </w:rPr>
            </w:pPr>
          </w:p>
        </w:tc>
        <w:tc>
          <w:tcPr>
            <w:tcW w:w="1904"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gridSpan w:val="2"/>
            <w:shd w:val="clear" w:color="auto" w:fill="auto"/>
            <w:vAlign w:val="center"/>
          </w:tcPr>
          <w:p>
            <w:pPr>
              <w:rPr>
                <w:rFonts w:ascii="宋体" w:hAnsi="宋体" w:eastAsia="宋体" w:cs="宋体"/>
                <w:color w:val="000000"/>
                <w:sz w:val="16"/>
                <w:szCs w:val="16"/>
              </w:rPr>
            </w:pPr>
          </w:p>
        </w:tc>
        <w:tc>
          <w:tcPr>
            <w:tcW w:w="9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其他收入</w:t>
            </w: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r>
      <w:tr>
        <w:tblPrEx>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22"/>
                <w:szCs w:val="22"/>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lang w:val="en-US"/>
              </w:rPr>
            </w:pPr>
            <w:r>
              <w:rPr>
                <w:rFonts w:hint="eastAsia" w:ascii="宋体" w:hAnsi="宋体" w:eastAsia="宋体" w:cs="宋体"/>
                <w:color w:val="000000"/>
                <w:sz w:val="24"/>
                <w:szCs w:val="24"/>
                <w:lang w:val="en-US" w:eastAsia="zh-CN"/>
              </w:rPr>
              <w:t>1600.98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lang w:val="en-US"/>
              </w:rPr>
            </w:pPr>
            <w:r>
              <w:rPr>
                <w:rFonts w:hint="eastAsia" w:ascii="宋体" w:hAnsi="宋体" w:eastAsia="宋体" w:cs="宋体"/>
                <w:color w:val="000000"/>
                <w:sz w:val="24"/>
                <w:szCs w:val="24"/>
                <w:lang w:val="en-US" w:eastAsia="zh-CN"/>
              </w:rPr>
              <w:t>1600.98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节能环保支出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1502.98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1502.98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环境保护管理事务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276.58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276.58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276.58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276.58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2110104</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环境保护宣传</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12"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21102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环境监测与监察</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12"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2110299</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其他环境监测与监察支出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lang w:val="en-US"/>
              </w:rPr>
            </w:pPr>
            <w:r>
              <w:rPr>
                <w:rFonts w:hint="eastAsia" w:ascii="宋体" w:hAnsi="宋体" w:eastAsia="宋体" w:cs="宋体"/>
                <w:i w:val="0"/>
                <w:color w:val="000000"/>
                <w:kern w:val="0"/>
                <w:sz w:val="22"/>
                <w:szCs w:val="22"/>
                <w:u w:val="none"/>
                <w:lang w:val="en-US" w:eastAsia="zh-CN" w:bidi="ar"/>
              </w:rPr>
              <w:t>21103</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污染防治</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1036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1036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大气</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356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356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2110302</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680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680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lang w:val="en-US"/>
              </w:rPr>
            </w:pPr>
            <w:r>
              <w:rPr>
                <w:rFonts w:hint="eastAsia" w:ascii="宋体" w:hAnsi="宋体" w:eastAsia="宋体" w:cs="宋体"/>
                <w:i w:val="0"/>
                <w:color w:val="000000"/>
                <w:kern w:val="0"/>
                <w:sz w:val="22"/>
                <w:szCs w:val="22"/>
                <w:u w:val="none"/>
                <w:lang w:val="en-US" w:eastAsia="zh-CN" w:bidi="ar"/>
              </w:rPr>
              <w:t>211111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污染减排</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40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lang w:val="en-US"/>
              </w:rPr>
            </w:pPr>
            <w:r>
              <w:rPr>
                <w:rFonts w:hint="eastAsia" w:ascii="宋体" w:hAnsi="宋体" w:eastAsia="宋体" w:cs="宋体"/>
                <w:i w:val="0"/>
                <w:color w:val="000000"/>
                <w:kern w:val="0"/>
                <w:sz w:val="22"/>
                <w:szCs w:val="22"/>
                <w:u w:val="none"/>
                <w:lang w:val="en-US" w:eastAsia="zh-CN" w:bidi="ar"/>
              </w:rPr>
              <w:t>2111102</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环境执法监察</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40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lang w:val="en-US"/>
              </w:rPr>
            </w:pPr>
            <w:r>
              <w:rPr>
                <w:rFonts w:hint="eastAsia" w:ascii="宋体" w:hAnsi="宋体" w:eastAsia="宋体" w:cs="宋体"/>
                <w:i w:val="0"/>
                <w:color w:val="000000"/>
                <w:kern w:val="0"/>
                <w:sz w:val="22"/>
                <w:szCs w:val="22"/>
                <w:u w:val="none"/>
                <w:lang w:val="en-US" w:eastAsia="zh-CN" w:bidi="ar"/>
              </w:rPr>
              <w:t>213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农林水支出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扶贫</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2130505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生产发展</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978.4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注：本表反映部门本年度取得的各项收入情况。</w:t>
            </w:r>
          </w:p>
        </w:tc>
      </w:tr>
      <w:tr>
        <w:tblPrEx>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widowControl/>
              <w:jc w:val="left"/>
              <w:textAlignment w:val="center"/>
              <w:rPr>
                <w:rFonts w:ascii="宋体" w:hAnsi="宋体" w:eastAsia="宋体" w:cs="宋体"/>
                <w:color w:val="000000"/>
                <w:kern w:val="0"/>
                <w:sz w:val="16"/>
                <w:szCs w:val="16"/>
              </w:rPr>
            </w:pP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docGrid w:type="lines" w:linePitch="317" w:charSpace="0"/>
        </w:sectPr>
      </w:pPr>
    </w:p>
    <w:tbl>
      <w:tblPr>
        <w:tblStyle w:val="8"/>
        <w:tblW w:w="10350" w:type="dxa"/>
        <w:tblInd w:w="-821" w:type="dxa"/>
        <w:tblLayout w:type="fixed"/>
        <w:tblCellMar>
          <w:top w:w="15" w:type="dxa"/>
          <w:left w:w="15" w:type="dxa"/>
          <w:bottom w:w="15" w:type="dxa"/>
          <w:right w:w="15" w:type="dxa"/>
        </w:tblCellMar>
      </w:tblPr>
      <w:tblGrid>
        <w:gridCol w:w="735"/>
        <w:gridCol w:w="52"/>
        <w:gridCol w:w="695"/>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5"/>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22"/>
                <w:szCs w:val="22"/>
              </w:rPr>
              <w:t>合计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rPr>
            </w:pPr>
            <w:r>
              <w:rPr>
                <w:rFonts w:hint="eastAsia" w:ascii="宋体" w:hAnsi="宋体" w:eastAsia="宋体" w:cs="宋体"/>
                <w:color w:val="000000"/>
                <w:sz w:val="24"/>
                <w:szCs w:val="24"/>
                <w:lang w:val="en-US" w:eastAsia="zh-CN"/>
              </w:rPr>
              <w:t>1600.98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476.58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1124.4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211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节能环保支出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rPr>
            </w:pPr>
            <w:r>
              <w:rPr>
                <w:rFonts w:hint="eastAsia" w:ascii="宋体" w:hAnsi="宋体" w:eastAsia="宋体" w:cs="宋体"/>
                <w:color w:val="000000"/>
                <w:sz w:val="24"/>
                <w:szCs w:val="24"/>
                <w:lang w:val="en-US" w:eastAsia="zh-CN"/>
              </w:rPr>
              <w:t>1502.98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4"/>
                <w:szCs w:val="24"/>
                <w:lang w:val="en-US"/>
              </w:rPr>
            </w:pPr>
            <w:r>
              <w:rPr>
                <w:rFonts w:hint="eastAsia" w:ascii="宋体" w:hAnsi="宋体" w:eastAsia="宋体" w:cs="宋体"/>
                <w:color w:val="000000"/>
                <w:sz w:val="24"/>
                <w:szCs w:val="24"/>
                <w:lang w:val="en-US" w:eastAsia="zh-CN"/>
              </w:rPr>
              <w:t>476.58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1026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环境保护管理事务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276.58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276.58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226.58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226.58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2110104</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环境保护宣传</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21102</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环境监测与监察</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2110299</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其他环境监测与监察支出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污染防治</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1036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10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1026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大气</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356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2110302</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水体</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680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675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211111</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污染减排</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2111102</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环境执法监察</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sz w:val="24"/>
                <w:szCs w:val="24"/>
                <w:lang w:val="en-US" w:eastAsia="zh-CN"/>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sz w:val="24"/>
                <w:szCs w:val="24"/>
                <w:lang w:val="en-US" w:eastAsia="zh-CN"/>
              </w:rPr>
              <w:t>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val="en-US" w:eastAsia="zh-CN"/>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农林水支出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sz w:val="24"/>
                <w:szCs w:val="24"/>
                <w:lang w:val="en-US" w:eastAsia="zh-CN"/>
              </w:rPr>
              <w:t>98.4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lang w:val="en-US"/>
              </w:rPr>
            </w:pPr>
            <w:r>
              <w:rPr>
                <w:rFonts w:hint="eastAsia" w:ascii="宋体" w:hAnsi="宋体" w:eastAsia="宋体" w:cs="宋体"/>
                <w:color w:val="000000"/>
                <w:sz w:val="24"/>
                <w:szCs w:val="24"/>
                <w:lang w:val="en-US" w:eastAsia="zh-CN"/>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98.4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21305</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扶贫</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sz w:val="24"/>
                <w:szCs w:val="24"/>
                <w:lang w:val="en-US" w:eastAsia="zh-CN"/>
              </w:rPr>
              <w:t>98.4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4"/>
                <w:szCs w:val="24"/>
                <w:lang w:val="en-US"/>
              </w:rPr>
            </w:pPr>
            <w:r>
              <w:rPr>
                <w:rFonts w:hint="eastAsia" w:ascii="宋体" w:hAnsi="宋体" w:eastAsia="宋体" w:cs="宋体"/>
                <w:color w:val="000000"/>
                <w:sz w:val="24"/>
                <w:szCs w:val="24"/>
                <w:lang w:val="en-US" w:eastAsia="zh-CN"/>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98.4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87"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2130505</w:t>
            </w:r>
          </w:p>
        </w:tc>
        <w:tc>
          <w:tcPr>
            <w:tcW w:w="233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生产发展</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98.4</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docGrid w:type="lines" w:linePitch="318" w:charSpace="0"/>
        </w:sectPr>
      </w:pPr>
    </w:p>
    <w:tbl>
      <w:tblPr>
        <w:tblStyle w:val="8"/>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24"/>
                <w:szCs w:val="24"/>
                <w:lang w:val="en-US" w:eastAsia="zh-CN"/>
              </w:rPr>
              <w:t>1600.98</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1502.58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1502.58</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98.4</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24"/>
                <w:szCs w:val="24"/>
                <w:lang w:val="en-US" w:eastAsia="zh-CN"/>
              </w:rPr>
              <w:t>1600.98</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1600.98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1600.98</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24"/>
                <w:szCs w:val="24"/>
                <w:lang w:val="en-US" w:eastAsia="zh-CN"/>
              </w:rPr>
              <w:t>1600.98</w:t>
            </w:r>
          </w:p>
        </w:tc>
        <w:tc>
          <w:tcPr>
            <w:tcW w:w="20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1600.98</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1600.98</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8"/>
        <w:tblW w:w="10440" w:type="dxa"/>
        <w:tblInd w:w="-902" w:type="dxa"/>
        <w:tblLayout w:type="fixed"/>
        <w:tblCellMar>
          <w:top w:w="15" w:type="dxa"/>
          <w:left w:w="15" w:type="dxa"/>
          <w:bottom w:w="15" w:type="dxa"/>
          <w:right w:w="15" w:type="dxa"/>
        </w:tblCellMar>
      </w:tblPr>
      <w:tblGrid>
        <w:gridCol w:w="932"/>
        <w:gridCol w:w="284"/>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22"/>
                <w:szCs w:val="22"/>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color w:val="000000"/>
                <w:sz w:val="24"/>
                <w:szCs w:val="24"/>
                <w:lang w:val="en-US" w:eastAsia="zh-CN"/>
              </w:rPr>
              <w:t>1600.98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24"/>
                <w:szCs w:val="24"/>
                <w:lang w:val="en-US" w:eastAsia="zh-CN"/>
              </w:rPr>
              <w:t>476.58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24"/>
                <w:szCs w:val="24"/>
                <w:lang w:val="en-US" w:eastAsia="zh-CN"/>
              </w:rPr>
              <w:t>1124.4</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211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节能环保支出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sz w:val="24"/>
                <w:szCs w:val="24"/>
                <w:lang w:val="en-US" w:eastAsia="zh-CN"/>
              </w:rPr>
              <w:t>1502.98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sz w:val="24"/>
                <w:szCs w:val="24"/>
                <w:lang w:val="en-US" w:eastAsia="zh-CN"/>
              </w:rPr>
              <w:t>476.58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24"/>
                <w:szCs w:val="24"/>
                <w:lang w:val="en-US" w:eastAsia="zh-CN"/>
              </w:rPr>
              <w:t>1026</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环境保护管理事务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276.58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276.58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226.58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226.58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2110104</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环境保护宣传</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50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50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21102</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环境监测与监察</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150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150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2110299</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其他环境监测与监察支出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150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150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污染防治</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1036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1026</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大气</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lang w:val="en-US"/>
              </w:rPr>
            </w:pPr>
            <w:r>
              <w:rPr>
                <w:rFonts w:hint="eastAsia" w:ascii="宋体" w:hAnsi="宋体" w:eastAsia="宋体" w:cs="宋体"/>
                <w:color w:val="000000"/>
                <w:sz w:val="24"/>
                <w:szCs w:val="24"/>
                <w:lang w:val="en-US" w:eastAsia="zh-CN"/>
              </w:rPr>
              <w:t>356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5</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351</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2110302</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水体</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680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5</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675</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211111</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污染减排</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40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2111102</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环境执法监察</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40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213</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农林水支出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24"/>
                <w:szCs w:val="24"/>
                <w:lang w:val="en-US" w:eastAsia="zh-CN"/>
              </w:rPr>
              <w:t>98.4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4"/>
                <w:szCs w:val="24"/>
                <w:lang w:val="en-US" w:eastAsia="zh-CN"/>
              </w:rPr>
              <w:t>98.4</w:t>
            </w: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21305</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扶贫</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98.4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2130505</w:t>
            </w: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生产发展</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98.4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75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75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75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r>
      <w:tr>
        <w:tblPrEx>
          <w:tblLayout w:type="fixed"/>
          <w:tblCellMar>
            <w:top w:w="15" w:type="dxa"/>
            <w:left w:w="15" w:type="dxa"/>
            <w:bottom w:w="15" w:type="dxa"/>
            <w:right w:w="15" w:type="dxa"/>
          </w:tblCellMar>
        </w:tblPrEx>
        <w:trPr>
          <w:trHeight w:val="300" w:hRule="atLeast"/>
        </w:trPr>
        <w:tc>
          <w:tcPr>
            <w:tcW w:w="932"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75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22"/>
                <w:szCs w:val="22"/>
              </w:rPr>
            </w:pPr>
          </w:p>
        </w:tc>
      </w:tr>
      <w:tr>
        <w:tblPrEx>
          <w:tblLayout w:type="fixed"/>
          <w:tblCellMar>
            <w:top w:w="15" w:type="dxa"/>
            <w:left w:w="15" w:type="dxa"/>
            <w:bottom w:w="15" w:type="dxa"/>
            <w:right w:w="15" w:type="dxa"/>
          </w:tblCellMar>
        </w:tblPrEx>
        <w:trPr>
          <w:trHeight w:val="600" w:hRule="atLeast"/>
        </w:trPr>
        <w:tc>
          <w:tcPr>
            <w:tcW w:w="10440"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8"/>
        <w:tblW w:w="10485" w:type="dxa"/>
        <w:tblInd w:w="-896" w:type="dxa"/>
        <w:tblLayout w:type="fixed"/>
        <w:tblCellMar>
          <w:top w:w="15" w:type="dxa"/>
          <w:left w:w="15" w:type="dxa"/>
          <w:bottom w:w="15" w:type="dxa"/>
          <w:right w:w="15" w:type="dxa"/>
        </w:tblCellMar>
      </w:tblPr>
      <w:tblGrid>
        <w:gridCol w:w="715"/>
        <w:gridCol w:w="2729"/>
        <w:gridCol w:w="1620"/>
        <w:gridCol w:w="871"/>
        <w:gridCol w:w="2840"/>
        <w:gridCol w:w="1710"/>
      </w:tblGrid>
      <w:tr>
        <w:tblPrEx>
          <w:tblLayout w:type="fixed"/>
          <w:tblCellMar>
            <w:top w:w="15" w:type="dxa"/>
            <w:left w:w="15" w:type="dxa"/>
            <w:bottom w:w="15" w:type="dxa"/>
            <w:right w:w="15" w:type="dxa"/>
          </w:tblCellMar>
        </w:tblPrEx>
        <w:trPr>
          <w:trHeight w:val="375" w:hRule="atLeast"/>
        </w:trPr>
        <w:tc>
          <w:tcPr>
            <w:tcW w:w="10485" w:type="dxa"/>
            <w:gridSpan w:val="6"/>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300" w:hRule="atLeast"/>
        </w:trPr>
        <w:tc>
          <w:tcPr>
            <w:tcW w:w="5064"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3"/>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132.06</w:t>
            </w:r>
          </w:p>
          <w:p>
            <w:pPr>
              <w:widowControl/>
              <w:jc w:val="center"/>
              <w:textAlignment w:val="center"/>
              <w:rPr>
                <w:rFonts w:hint="eastAsia" w:ascii="宋体" w:hAnsi="宋体" w:eastAsia="宋体" w:cs="宋体"/>
                <w:b/>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315.4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90.26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43.77</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41.8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66.95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0.19</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9.76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5.90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29.12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38.46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15.72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32.58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13.04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0.65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19.89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48.64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11.99</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19.06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30315</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30239</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30399</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5.23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30240</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304</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对企事业单位补贴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30299</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0.88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30401</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企业政策补贴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30224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人员经费合计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161.18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30226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公用经费合计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315.40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84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477" w:hRule="atLeast"/>
        </w:trPr>
        <w:tc>
          <w:tcPr>
            <w:tcW w:w="10485" w:type="dxa"/>
            <w:gridSpan w:val="6"/>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8"/>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ascii="宋体" w:hAnsi="宋体" w:eastAsia="宋体" w:cs="宋体"/>
                <w:color w:val="000000"/>
                <w:sz w:val="16"/>
                <w:szCs w:val="16"/>
              </w:rPr>
            </w:pPr>
          </w:p>
        </w:tc>
        <w:tc>
          <w:tcPr>
            <w:tcW w:w="647" w:type="dxa"/>
            <w:gridSpan w:val="2"/>
            <w:shd w:val="clear" w:color="auto" w:fill="auto"/>
            <w:vAlign w:val="center"/>
          </w:tcPr>
          <w:p>
            <w:pPr>
              <w:rPr>
                <w:rFonts w:ascii="宋体" w:hAnsi="宋体" w:eastAsia="宋体" w:cs="宋体"/>
                <w:color w:val="000000"/>
                <w:sz w:val="16"/>
                <w:szCs w:val="16"/>
              </w:rPr>
            </w:pPr>
          </w:p>
        </w:tc>
        <w:tc>
          <w:tcPr>
            <w:tcW w:w="629" w:type="dxa"/>
            <w:gridSpan w:val="2"/>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629" w:type="dxa"/>
            <w:shd w:val="clear" w:color="auto" w:fill="auto"/>
            <w:vAlign w:val="center"/>
          </w:tcPr>
          <w:p>
            <w:pPr>
              <w:rPr>
                <w:rFonts w:ascii="宋体" w:hAnsi="宋体" w:eastAsia="宋体" w:cs="宋体"/>
                <w:color w:val="000000"/>
                <w:sz w:val="16"/>
                <w:szCs w:val="16"/>
              </w:rPr>
            </w:pPr>
          </w:p>
        </w:tc>
        <w:tc>
          <w:tcPr>
            <w:tcW w:w="992" w:type="dxa"/>
            <w:gridSpan w:val="2"/>
            <w:shd w:val="clear" w:color="auto" w:fill="auto"/>
            <w:vAlign w:val="center"/>
          </w:tcPr>
          <w:p>
            <w:pPr>
              <w:rPr>
                <w:rFonts w:ascii="宋体" w:hAnsi="宋体" w:eastAsia="宋体" w:cs="宋体"/>
                <w:color w:val="000000"/>
                <w:sz w:val="16"/>
                <w:szCs w:val="16"/>
              </w:rPr>
            </w:pPr>
          </w:p>
        </w:tc>
        <w:tc>
          <w:tcPr>
            <w:tcW w:w="509" w:type="dxa"/>
            <w:shd w:val="clear" w:color="auto" w:fill="auto"/>
            <w:vAlign w:val="center"/>
          </w:tcPr>
          <w:p>
            <w:pPr>
              <w:rPr>
                <w:rFonts w:ascii="宋体" w:hAnsi="宋体" w:eastAsia="宋体" w:cs="宋体"/>
                <w:color w:val="000000"/>
                <w:sz w:val="16"/>
                <w:szCs w:val="16"/>
              </w:rPr>
            </w:pPr>
          </w:p>
        </w:tc>
        <w:tc>
          <w:tcPr>
            <w:tcW w:w="647" w:type="dxa"/>
            <w:gridSpan w:val="2"/>
            <w:shd w:val="clear" w:color="auto" w:fill="auto"/>
            <w:vAlign w:val="center"/>
          </w:tcPr>
          <w:p>
            <w:pPr>
              <w:rPr>
                <w:rFonts w:ascii="宋体" w:hAnsi="宋体" w:eastAsia="宋体" w:cs="宋体"/>
                <w:color w:val="000000"/>
                <w:sz w:val="16"/>
                <w:szCs w:val="16"/>
              </w:rPr>
            </w:pPr>
          </w:p>
        </w:tc>
        <w:tc>
          <w:tcPr>
            <w:tcW w:w="630" w:type="dxa"/>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212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公开07表</w:t>
            </w:r>
          </w:p>
        </w:tc>
      </w:tr>
      <w:tr>
        <w:tblPrEx>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ascii="宋体" w:hAnsi="宋体" w:eastAsia="宋体" w:cs="宋体"/>
                <w:color w:val="000000"/>
                <w:sz w:val="16"/>
                <w:szCs w:val="16"/>
              </w:rPr>
            </w:pPr>
          </w:p>
        </w:tc>
        <w:tc>
          <w:tcPr>
            <w:tcW w:w="647" w:type="dxa"/>
            <w:gridSpan w:val="2"/>
            <w:shd w:val="clear" w:color="auto" w:fill="auto"/>
            <w:vAlign w:val="center"/>
          </w:tcPr>
          <w:p>
            <w:pPr>
              <w:rPr>
                <w:rFonts w:ascii="宋体" w:hAnsi="宋体" w:eastAsia="宋体" w:cs="宋体"/>
                <w:color w:val="000000"/>
                <w:sz w:val="16"/>
                <w:szCs w:val="16"/>
              </w:rPr>
            </w:pPr>
          </w:p>
        </w:tc>
        <w:tc>
          <w:tcPr>
            <w:tcW w:w="629" w:type="dxa"/>
            <w:gridSpan w:val="2"/>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629" w:type="dxa"/>
            <w:shd w:val="clear" w:color="auto" w:fill="auto"/>
            <w:vAlign w:val="center"/>
          </w:tcPr>
          <w:p>
            <w:pPr>
              <w:rPr>
                <w:rFonts w:ascii="宋体" w:hAnsi="宋体" w:eastAsia="宋体" w:cs="宋体"/>
                <w:color w:val="000000"/>
                <w:sz w:val="16"/>
                <w:szCs w:val="16"/>
              </w:rPr>
            </w:pPr>
          </w:p>
        </w:tc>
        <w:tc>
          <w:tcPr>
            <w:tcW w:w="992" w:type="dxa"/>
            <w:gridSpan w:val="2"/>
            <w:shd w:val="clear" w:color="auto" w:fill="auto"/>
            <w:vAlign w:val="center"/>
          </w:tcPr>
          <w:p>
            <w:pPr>
              <w:rPr>
                <w:rFonts w:ascii="宋体" w:hAnsi="宋体" w:eastAsia="宋体" w:cs="宋体"/>
                <w:color w:val="000000"/>
                <w:sz w:val="16"/>
                <w:szCs w:val="16"/>
              </w:rPr>
            </w:pPr>
          </w:p>
        </w:tc>
        <w:tc>
          <w:tcPr>
            <w:tcW w:w="509" w:type="dxa"/>
            <w:shd w:val="clear" w:color="auto" w:fill="auto"/>
            <w:vAlign w:val="center"/>
          </w:tcPr>
          <w:p>
            <w:pPr>
              <w:rPr>
                <w:rFonts w:ascii="宋体" w:hAnsi="宋体" w:eastAsia="宋体" w:cs="宋体"/>
                <w:color w:val="000000"/>
                <w:sz w:val="16"/>
                <w:szCs w:val="16"/>
              </w:rPr>
            </w:pPr>
          </w:p>
        </w:tc>
        <w:tc>
          <w:tcPr>
            <w:tcW w:w="647" w:type="dxa"/>
            <w:gridSpan w:val="2"/>
            <w:shd w:val="clear" w:color="auto" w:fill="auto"/>
            <w:vAlign w:val="center"/>
          </w:tcPr>
          <w:p>
            <w:pPr>
              <w:rPr>
                <w:rFonts w:ascii="宋体" w:hAnsi="宋体" w:eastAsia="宋体" w:cs="宋体"/>
                <w:color w:val="000000"/>
                <w:sz w:val="16"/>
                <w:szCs w:val="16"/>
              </w:rPr>
            </w:pPr>
          </w:p>
        </w:tc>
        <w:tc>
          <w:tcPr>
            <w:tcW w:w="630" w:type="dxa"/>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630" w:type="dxa"/>
            <w:gridSpan w:val="2"/>
            <w:shd w:val="clear" w:color="auto" w:fill="auto"/>
            <w:vAlign w:val="center"/>
          </w:tcPr>
          <w:p>
            <w:pPr>
              <w:rPr>
                <w:rFonts w:ascii="宋体" w:hAnsi="宋体" w:eastAsia="宋体" w:cs="宋体"/>
                <w:color w:val="000000"/>
                <w:sz w:val="16"/>
                <w:szCs w:val="16"/>
              </w:rPr>
            </w:pPr>
          </w:p>
        </w:tc>
        <w:tc>
          <w:tcPr>
            <w:tcW w:w="212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2016年度决算数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r>
      <w:tr>
        <w:tblPrEx>
          <w:tblLayout w:type="fixed"/>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right"/>
              <w:rPr>
                <w:rFonts w:hint="eastAsia" w:ascii="宋体" w:hAnsi="宋体" w:eastAsia="宋体" w:cs="宋体"/>
                <w:b/>
                <w:color w:val="000000"/>
                <w:sz w:val="16"/>
                <w:szCs w:val="16"/>
                <w:lang w:eastAsia="zh-CN"/>
              </w:rPr>
            </w:pPr>
            <w:r>
              <w:rPr>
                <w:rFonts w:hint="eastAsia" w:ascii="宋体" w:hAnsi="宋体" w:eastAsia="宋体" w:cs="宋体"/>
                <w:b/>
                <w:color w:val="000000"/>
                <w:sz w:val="16"/>
                <w:szCs w:val="16"/>
                <w:lang w:val="en-US" w:eastAsia="zh-CN"/>
              </w:rPr>
              <w:t>0</w:t>
            </w: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val="en-US" w:eastAsia="zh-CN"/>
              </w:rPr>
              <w:t>0</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0</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r>
      <w:tr>
        <w:tblPrEx>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widowControl/>
              <w:jc w:val="left"/>
              <w:textAlignment w:val="center"/>
              <w:rPr>
                <w:rFonts w:ascii="宋体" w:hAnsi="宋体" w:eastAsia="宋体" w:cs="宋体"/>
                <w:color w:val="000000"/>
                <w:sz w:val="16"/>
                <w:szCs w:val="16"/>
              </w:rPr>
            </w:pP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8"/>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2"/>
            <w:shd w:val="clear" w:color="auto" w:fill="auto"/>
            <w:vAlign w:val="center"/>
          </w:tcPr>
          <w:p>
            <w:pPr>
              <w:rPr>
                <w:rFonts w:hint="eastAsia" w:ascii="宋体" w:hAnsi="宋体" w:eastAsia="宋体" w:cs="宋体"/>
                <w:color w:val="000000"/>
                <w:sz w:val="16"/>
                <w:szCs w:val="16"/>
                <w:lang w:eastAsia="zh-CN"/>
              </w:rPr>
            </w:pPr>
            <w:r>
              <w:rPr>
                <w:rFonts w:hint="eastAsia" w:ascii="宋体" w:hAnsi="宋体" w:eastAsia="宋体" w:cs="宋体"/>
                <w:color w:val="000000"/>
                <w:sz w:val="16"/>
                <w:szCs w:val="16"/>
                <w:lang w:eastAsia="zh-CN"/>
              </w:rPr>
              <w:t>部门：河南省濮阳市台</w:t>
            </w:r>
          </w:p>
        </w:tc>
        <w:tc>
          <w:tcPr>
            <w:tcW w:w="1436" w:type="dxa"/>
            <w:shd w:val="clear" w:color="auto" w:fill="auto"/>
            <w:vAlign w:val="center"/>
          </w:tcPr>
          <w:p>
            <w:pPr>
              <w:rPr>
                <w:rFonts w:ascii="宋体" w:hAnsi="宋体" w:eastAsia="宋体" w:cs="宋体"/>
                <w:color w:val="000000"/>
                <w:sz w:val="16"/>
                <w:szCs w:val="16"/>
              </w:rPr>
            </w:pPr>
            <w:r>
              <w:rPr>
                <w:rFonts w:hint="eastAsia" w:ascii="宋体" w:hAnsi="宋体" w:eastAsia="宋体" w:cs="宋体"/>
                <w:color w:val="000000"/>
                <w:sz w:val="16"/>
                <w:szCs w:val="16"/>
                <w:lang w:eastAsia="zh-CN"/>
              </w:rPr>
              <w:t>前县环境保护局</w:t>
            </w: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bookmarkStart w:id="0" w:name="_GoBack"/>
            <w:bookmarkEnd w:id="0"/>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000000" w:themeColor="text1"/>
                <w:kern w:val="0"/>
                <w:sz w:val="20"/>
                <w:szCs w:val="20"/>
                <w14:textFill>
                  <w14:solidFill>
                    <w14:schemeClr w14:val="tx1"/>
                  </w14:solidFill>
                </w14:textFill>
              </w:rPr>
              <w:t>说明：</w:t>
            </w:r>
            <w:r>
              <w:rPr>
                <w:rFonts w:hint="eastAsia" w:ascii="宋体" w:hAnsi="宋体" w:eastAsia="宋体" w:cs="宋体"/>
                <w:b/>
                <w:color w:val="000000" w:themeColor="text1"/>
                <w:kern w:val="0"/>
                <w:sz w:val="20"/>
                <w:szCs w:val="20"/>
                <w:lang w:eastAsia="zh-CN"/>
                <w14:textFill>
                  <w14:solidFill>
                    <w14:schemeClr w14:val="tx1"/>
                  </w14:solidFill>
                </w14:textFill>
              </w:rPr>
              <w:t>环保局</w:t>
            </w:r>
            <w:r>
              <w:rPr>
                <w:rFonts w:hint="eastAsia" w:ascii="宋体" w:hAnsi="宋体" w:eastAsia="宋体" w:cs="宋体"/>
                <w:b/>
                <w:color w:val="000000" w:themeColor="text1"/>
                <w:kern w:val="0"/>
                <w:sz w:val="20"/>
                <w:szCs w:val="20"/>
                <w14:textFill>
                  <w14:solidFill>
                    <w14:schemeClr w14:val="tx1"/>
                  </w14:solidFill>
                </w14:textFill>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rPr>
      </w:pPr>
    </w:p>
    <w:p>
      <w:pPr>
        <w:jc w:val="center"/>
        <w:rPr>
          <w:rFonts w:ascii="隶书" w:hAnsi="隶书" w:eastAsia="隶书" w:cs="隶书"/>
          <w:sz w:val="48"/>
          <w:szCs w:val="48"/>
        </w:rPr>
      </w:pPr>
      <w:r>
        <w:rPr>
          <w:rFonts w:hint="eastAsia" w:ascii="隶书" w:hAnsi="隶书" w:eastAsia="隶书" w:cs="隶书"/>
          <w:sz w:val="48"/>
          <w:szCs w:val="48"/>
        </w:rPr>
        <w:t>环保局</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201</w:t>
      </w:r>
      <w:r>
        <w:rPr>
          <w:rFonts w:hint="eastAsia" w:ascii="隶书" w:hAnsi="隶书" w:eastAsia="隶书" w:cs="隶书"/>
          <w:sz w:val="48"/>
          <w:szCs w:val="48"/>
          <w:lang w:val="en-US" w:eastAsia="zh-CN"/>
        </w:rPr>
        <w:t>7</w:t>
      </w:r>
      <w:r>
        <w:rPr>
          <w:rFonts w:hint="eastAsia" w:ascii="隶书" w:hAnsi="隶书" w:eastAsia="隶书" w:cs="隶书"/>
          <w:sz w:val="48"/>
          <w:szCs w:val="48"/>
        </w:rPr>
        <w:t>年度部门决算情况说明</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收入支出决算总体情况说明</w:t>
      </w:r>
    </w:p>
    <w:p>
      <w:pPr>
        <w:adjustRightInd w:val="0"/>
        <w:snapToGrid w:val="0"/>
        <w:spacing w:line="360" w:lineRule="auto"/>
        <w:ind w:firstLine="640" w:firstLineChars="200"/>
        <w:rPr>
          <w:rFonts w:hint="eastAsia" w:ascii="仿宋_GB2312" w:hAnsi="宋体" w:eastAsia="仿宋_GB2312" w:cs="Courier New"/>
          <w:sz w:val="32"/>
          <w:szCs w:val="32"/>
          <w:lang w:eastAsia="zh-CN"/>
        </w:rPr>
      </w:pPr>
      <w:r>
        <w:rPr>
          <w:rFonts w:hint="eastAsia" w:ascii="仿宋" w:hAnsi="仿宋" w:eastAsia="仿宋"/>
          <w:sz w:val="32"/>
        </w:rPr>
        <w:t xml:space="preserve"> 2017年度收、支总计均为1,600.98万元。与2016年相比，收、支总计各</w:t>
      </w:r>
      <w:r>
        <w:rPr>
          <w:rFonts w:hint="eastAsia" w:ascii="仿宋" w:hAnsi="仿宋" w:eastAsia="仿宋"/>
          <w:sz w:val="32"/>
          <w:lang w:eastAsia="zh-CN"/>
        </w:rPr>
        <w:t>减少</w:t>
      </w:r>
      <w:r>
        <w:rPr>
          <w:rFonts w:hint="eastAsia" w:ascii="仿宋" w:hAnsi="仿宋" w:eastAsia="仿宋"/>
          <w:sz w:val="32"/>
          <w:lang w:val="en-US" w:eastAsia="zh-CN"/>
        </w:rPr>
        <w:t>161.69</w:t>
      </w:r>
      <w:r>
        <w:rPr>
          <w:rFonts w:hint="eastAsia" w:ascii="仿宋" w:hAnsi="仿宋" w:eastAsia="仿宋"/>
          <w:sz w:val="32"/>
        </w:rPr>
        <w:t>万元，</w:t>
      </w:r>
      <w:r>
        <w:rPr>
          <w:rFonts w:hint="eastAsia" w:ascii="仿宋" w:hAnsi="仿宋" w:eastAsia="仿宋"/>
          <w:sz w:val="32"/>
          <w:lang w:eastAsia="zh-CN"/>
        </w:rPr>
        <w:t>下降</w:t>
      </w:r>
      <w:r>
        <w:rPr>
          <w:rFonts w:hint="eastAsia" w:ascii="仿宋" w:hAnsi="仿宋" w:eastAsia="仿宋"/>
          <w:sz w:val="32"/>
          <w:lang w:val="en-US" w:eastAsia="zh-CN"/>
        </w:rPr>
        <w:t>9.17</w:t>
      </w:r>
      <w:r>
        <w:rPr>
          <w:rFonts w:hint="eastAsia" w:ascii="仿宋" w:hAnsi="仿宋" w:eastAsia="仿宋"/>
          <w:sz w:val="32"/>
        </w:rPr>
        <w:t>%</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收支下降的主要原因是减少了三公经费投入和基本支出。</w:t>
      </w:r>
    </w:p>
    <w:p>
      <w:pPr>
        <w:spacing w:beforeLines="0" w:afterLines="0"/>
        <w:ind w:firstLine="640"/>
        <w:rPr>
          <w:rFonts w:ascii="黑体" w:hAnsi="黑体" w:eastAsia="黑体"/>
          <w:sz w:val="32"/>
          <w:szCs w:val="32"/>
        </w:rPr>
      </w:pPr>
      <w:r>
        <w:rPr>
          <w:rFonts w:hint="eastAsia" w:ascii="仿宋_GB2312" w:hAnsi="仿宋_GB2312" w:eastAsia="仿宋_GB2312" w:cs="仿宋_GB2312"/>
          <w:b/>
          <w:bCs/>
          <w:color w:val="000000"/>
          <w:kern w:val="0"/>
          <w:sz w:val="32"/>
          <w:szCs w:val="32"/>
          <w:lang w:bidi="ar"/>
        </w:rPr>
        <w:t>二、收入汇总决算情况说明</w:t>
      </w:r>
      <w:r>
        <w:rPr>
          <w:rFonts w:hint="eastAsia" w:ascii="仿宋_GB2312" w:hAnsi="仿宋_GB2312" w:eastAsia="仿宋_GB2312" w:cs="仿宋_GB2312"/>
          <w:b/>
          <w:bCs/>
          <w:color w:val="000000"/>
          <w:kern w:val="0"/>
          <w:sz w:val="32"/>
          <w:szCs w:val="32"/>
          <w:lang w:bidi="ar"/>
        </w:rPr>
        <w:br w:type="textWrapping"/>
      </w:r>
      <w:r>
        <w:rPr>
          <w:rFonts w:hint="eastAsia" w:ascii="宋体" w:hAnsi="宋体" w:cs="宋体"/>
          <w:color w:val="000000"/>
          <w:kern w:val="0"/>
          <w:sz w:val="27"/>
          <w:szCs w:val="27"/>
          <w:lang w:bidi="ar"/>
        </w:rPr>
        <w:t>     </w:t>
      </w:r>
      <w:r>
        <w:rPr>
          <w:rFonts w:hint="eastAsia" w:ascii="仿宋_GB2312" w:hAnsi="仿宋_GB2312" w:eastAsia="仿宋_GB2312" w:cs="仿宋_GB2312"/>
          <w:color w:val="000000"/>
          <w:kern w:val="0"/>
          <w:sz w:val="32"/>
          <w:szCs w:val="32"/>
          <w:lang w:bidi="ar"/>
        </w:rPr>
        <w:t> </w:t>
      </w:r>
      <w:r>
        <w:rPr>
          <w:rFonts w:hint="eastAsia" w:ascii="仿宋" w:hAnsi="仿宋" w:eastAsia="仿宋"/>
          <w:sz w:val="32"/>
        </w:rPr>
        <w:t>2017年度收入合计1,600.98万元，其中：财政拨款收入1,600.98万元，占</w:t>
      </w:r>
      <w:r>
        <w:rPr>
          <w:rFonts w:hint="eastAsia" w:ascii="仿宋" w:hAnsi="仿宋" w:eastAsia="仿宋"/>
          <w:sz w:val="32"/>
          <w:lang w:val="en-US" w:eastAsia="zh-CN"/>
        </w:rPr>
        <w:t>100</w:t>
      </w:r>
      <w:r>
        <w:rPr>
          <w:rFonts w:hint="eastAsia" w:ascii="仿宋" w:hAnsi="仿宋" w:eastAsia="仿宋"/>
          <w:sz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2017年度支出合计1,600.98万元，其中：基本支出476.58万元，占</w:t>
      </w:r>
      <w:r>
        <w:rPr>
          <w:rFonts w:hint="eastAsia" w:ascii="仿宋" w:hAnsi="仿宋" w:eastAsia="仿宋"/>
          <w:sz w:val="32"/>
          <w:lang w:val="en-US" w:eastAsia="zh-CN"/>
        </w:rPr>
        <w:t>29.77</w:t>
      </w:r>
      <w:r>
        <w:rPr>
          <w:rFonts w:hint="eastAsia" w:ascii="仿宋" w:hAnsi="仿宋" w:eastAsia="仿宋"/>
          <w:sz w:val="32"/>
        </w:rPr>
        <w:t>%；项目支出1,124.4万元，占</w:t>
      </w:r>
      <w:r>
        <w:rPr>
          <w:rFonts w:hint="eastAsia" w:ascii="仿宋" w:hAnsi="仿宋" w:eastAsia="仿宋"/>
          <w:sz w:val="32"/>
          <w:lang w:val="en-US" w:eastAsia="zh-CN"/>
        </w:rPr>
        <w:t>70.23</w:t>
      </w:r>
      <w:r>
        <w:rPr>
          <w:rFonts w:hint="eastAsia" w:ascii="仿宋" w:hAnsi="仿宋" w:eastAsia="仿宋"/>
          <w:sz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财政拨款收入支出决算总体情况说明</w:t>
      </w:r>
    </w:p>
    <w:p>
      <w:pPr>
        <w:adjustRightInd w:val="0"/>
        <w:snapToGrid w:val="0"/>
        <w:spacing w:line="360" w:lineRule="auto"/>
        <w:ind w:firstLine="640" w:firstLineChars="200"/>
        <w:rPr>
          <w:rFonts w:ascii="黑体" w:hAnsi="黑体" w:eastAsia="黑体"/>
          <w:sz w:val="32"/>
          <w:szCs w:val="32"/>
        </w:rPr>
      </w:pPr>
      <w:r>
        <w:rPr>
          <w:rFonts w:hint="eastAsia" w:ascii="仿宋" w:hAnsi="仿宋" w:eastAsia="仿宋"/>
          <w:sz w:val="32"/>
        </w:rPr>
        <w:t>2017年财政拨款收、支总计均为1,600.98万元。与2016年相比，财政拨款收、支总计各</w:t>
      </w:r>
      <w:r>
        <w:rPr>
          <w:rFonts w:hint="eastAsia" w:ascii="仿宋" w:hAnsi="仿宋" w:eastAsia="仿宋"/>
          <w:sz w:val="32"/>
          <w:lang w:eastAsia="zh-CN"/>
        </w:rPr>
        <w:t>减少</w:t>
      </w:r>
      <w:r>
        <w:rPr>
          <w:rFonts w:hint="eastAsia" w:ascii="仿宋" w:hAnsi="仿宋" w:eastAsia="仿宋"/>
          <w:sz w:val="32"/>
          <w:lang w:val="en-US" w:eastAsia="zh-CN"/>
        </w:rPr>
        <w:t>161.69</w:t>
      </w:r>
      <w:r>
        <w:rPr>
          <w:rFonts w:hint="eastAsia" w:ascii="仿宋" w:hAnsi="仿宋" w:eastAsia="仿宋"/>
          <w:sz w:val="32"/>
        </w:rPr>
        <w:t>万元，</w:t>
      </w:r>
      <w:r>
        <w:rPr>
          <w:rFonts w:hint="eastAsia" w:ascii="仿宋_GB2312" w:hAnsi="宋体" w:eastAsia="仿宋_GB2312" w:cs="Courier New"/>
          <w:sz w:val="32"/>
          <w:szCs w:val="32"/>
        </w:rPr>
        <w:t>收、支总计各</w:t>
      </w:r>
      <w:r>
        <w:rPr>
          <w:rFonts w:hint="eastAsia" w:ascii="仿宋" w:hAnsi="仿宋" w:eastAsia="仿宋"/>
          <w:sz w:val="32"/>
          <w:lang w:eastAsia="zh-CN"/>
        </w:rPr>
        <w:t>下降</w:t>
      </w:r>
      <w:r>
        <w:rPr>
          <w:rFonts w:hint="eastAsia" w:ascii="仿宋" w:hAnsi="仿宋" w:eastAsia="仿宋"/>
          <w:sz w:val="32"/>
          <w:lang w:val="en-US" w:eastAsia="zh-CN"/>
        </w:rPr>
        <w:t>9.17</w:t>
      </w:r>
      <w:r>
        <w:rPr>
          <w:rFonts w:hint="eastAsia" w:ascii="仿宋" w:hAnsi="仿宋" w:eastAsia="仿宋"/>
          <w:sz w:val="32"/>
        </w:rPr>
        <w:t>%</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收支减少的主要原因是减少了三公经费投入和基本支出。</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一般公共预算财政拨款支出决算情况说明</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总体情况。</w:t>
      </w:r>
    </w:p>
    <w:p>
      <w:pPr>
        <w:spacing w:beforeLines="0" w:afterLines="0"/>
        <w:ind w:firstLine="640"/>
        <w:jc w:val="left"/>
        <w:rPr>
          <w:rFonts w:ascii="仿宋_GB2312" w:hAnsi="宋体" w:eastAsia="仿宋_GB2312" w:cs="Courier New"/>
          <w:sz w:val="32"/>
          <w:szCs w:val="32"/>
        </w:rPr>
      </w:pPr>
      <w:r>
        <w:rPr>
          <w:rFonts w:hint="eastAsia" w:ascii="仿宋" w:hAnsi="仿宋" w:eastAsia="仿宋"/>
          <w:sz w:val="32"/>
        </w:rPr>
        <w:t>2017年一般公共预算财政拨款支出1,600.98万元，占支出合计的</w:t>
      </w:r>
      <w:r>
        <w:rPr>
          <w:rFonts w:hint="eastAsia" w:ascii="仿宋" w:hAnsi="仿宋" w:eastAsia="仿宋"/>
          <w:sz w:val="32"/>
          <w:lang w:val="en-US" w:eastAsia="zh-CN"/>
        </w:rPr>
        <w:t>100</w:t>
      </w:r>
      <w:r>
        <w:rPr>
          <w:rFonts w:hint="eastAsia" w:ascii="仿宋" w:hAnsi="仿宋" w:eastAsia="仿宋"/>
          <w:sz w:val="32"/>
        </w:rPr>
        <w:t>%。与2016年相比，一般公共预算财政拨款支出</w:t>
      </w:r>
      <w:r>
        <w:rPr>
          <w:rFonts w:hint="eastAsia" w:ascii="仿宋" w:hAnsi="仿宋" w:eastAsia="仿宋"/>
          <w:sz w:val="32"/>
          <w:lang w:eastAsia="zh-CN"/>
        </w:rPr>
        <w:t>减少</w:t>
      </w:r>
      <w:r>
        <w:rPr>
          <w:rFonts w:hint="eastAsia" w:ascii="仿宋" w:hAnsi="仿宋" w:eastAsia="仿宋"/>
          <w:sz w:val="32"/>
          <w:lang w:val="en-US" w:eastAsia="zh-CN"/>
        </w:rPr>
        <w:t>161.69</w:t>
      </w:r>
      <w:r>
        <w:rPr>
          <w:rFonts w:hint="eastAsia" w:ascii="仿宋" w:hAnsi="仿宋" w:eastAsia="仿宋"/>
          <w:sz w:val="32"/>
        </w:rPr>
        <w:t>万元，</w:t>
      </w:r>
      <w:r>
        <w:rPr>
          <w:rFonts w:hint="eastAsia" w:ascii="仿宋" w:hAnsi="仿宋" w:eastAsia="仿宋"/>
          <w:sz w:val="32"/>
          <w:lang w:val="en-US" w:eastAsia="zh-CN"/>
        </w:rPr>
        <w:t>9.17</w:t>
      </w:r>
      <w:r>
        <w:rPr>
          <w:rFonts w:hint="eastAsia" w:ascii="仿宋" w:hAnsi="仿宋" w:eastAsia="仿宋"/>
          <w:sz w:val="32"/>
        </w:rPr>
        <w:t>%。变动的主要原因是</w:t>
      </w:r>
      <w:r>
        <w:rPr>
          <w:rFonts w:hint="eastAsia" w:ascii="仿宋_GB2312" w:hAnsi="宋体" w:eastAsia="仿宋_GB2312" w:cs="Courier New"/>
          <w:sz w:val="32"/>
          <w:szCs w:val="32"/>
          <w:lang w:eastAsia="zh-CN"/>
        </w:rPr>
        <w:t>减少了三公经费投入和基本支出</w:t>
      </w:r>
      <w:r>
        <w:rPr>
          <w:rFonts w:hint="eastAsia" w:ascii="仿宋" w:hAnsi="仿宋" w:eastAsia="仿宋"/>
          <w:sz w:val="32"/>
        </w:rPr>
        <w:t>。</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结构情况。</w:t>
      </w:r>
    </w:p>
    <w:p>
      <w:pPr>
        <w:spacing w:beforeLines="0" w:afterLines="0"/>
        <w:ind w:firstLine="640"/>
        <w:jc w:val="left"/>
        <w:rPr>
          <w:rFonts w:hint="eastAsia" w:ascii="仿宋" w:hAnsi="仿宋" w:eastAsia="仿宋"/>
          <w:sz w:val="32"/>
          <w:lang w:eastAsia="zh-CN"/>
        </w:rPr>
      </w:pPr>
      <w:r>
        <w:rPr>
          <w:rFonts w:hint="eastAsia" w:ascii="仿宋" w:hAnsi="仿宋" w:eastAsia="仿宋"/>
          <w:sz w:val="32"/>
        </w:rPr>
        <w:t>2017年度一般公共预算财政拨款支出1,600.98万元，主要用于以下方面：</w:t>
      </w:r>
      <w:r>
        <w:rPr>
          <w:rFonts w:hint="eastAsia" w:ascii="仿宋" w:hAnsi="仿宋" w:eastAsia="仿宋"/>
          <w:sz w:val="32"/>
          <w:lang w:eastAsia="zh-CN"/>
        </w:rPr>
        <w:t>节能环保支出</w:t>
      </w:r>
      <w:r>
        <w:rPr>
          <w:rFonts w:hint="eastAsia" w:ascii="仿宋" w:hAnsi="仿宋" w:eastAsia="仿宋"/>
          <w:sz w:val="32"/>
        </w:rPr>
        <w:t>支出</w:t>
      </w:r>
      <w:r>
        <w:rPr>
          <w:rFonts w:hint="eastAsia" w:ascii="仿宋" w:hAnsi="仿宋" w:eastAsia="仿宋"/>
          <w:sz w:val="32"/>
          <w:lang w:val="en-US" w:eastAsia="zh-CN"/>
        </w:rPr>
        <w:t>1502.58</w:t>
      </w:r>
      <w:r>
        <w:rPr>
          <w:rFonts w:hint="eastAsia" w:ascii="仿宋" w:hAnsi="仿宋" w:eastAsia="仿宋"/>
          <w:sz w:val="32"/>
        </w:rPr>
        <w:t>万元，占</w:t>
      </w:r>
      <w:r>
        <w:rPr>
          <w:rFonts w:hint="eastAsia" w:ascii="仿宋" w:hAnsi="仿宋" w:eastAsia="仿宋"/>
          <w:sz w:val="32"/>
          <w:lang w:val="en-US" w:eastAsia="zh-CN"/>
        </w:rPr>
        <w:t>93.82</w:t>
      </w:r>
      <w:r>
        <w:rPr>
          <w:rFonts w:hint="eastAsia" w:ascii="仿宋" w:hAnsi="仿宋" w:eastAsia="仿宋"/>
          <w:sz w:val="32"/>
        </w:rPr>
        <w:t>%</w:t>
      </w:r>
      <w:r>
        <w:rPr>
          <w:rFonts w:hint="eastAsia" w:ascii="仿宋" w:hAnsi="仿宋" w:eastAsia="仿宋"/>
          <w:sz w:val="32"/>
          <w:lang w:eastAsia="zh-CN"/>
        </w:rPr>
        <w:t>，其中项目支出</w:t>
      </w:r>
      <w:r>
        <w:rPr>
          <w:rFonts w:hint="eastAsia" w:ascii="仿宋" w:hAnsi="仿宋" w:eastAsia="仿宋"/>
          <w:sz w:val="32"/>
          <w:lang w:val="en-US" w:eastAsia="zh-CN"/>
        </w:rPr>
        <w:t>1124.4，占节能环保支出的74.83</w:t>
      </w:r>
      <w:r>
        <w:rPr>
          <w:rFonts w:hint="eastAsia" w:ascii="仿宋" w:hAnsi="仿宋" w:eastAsia="仿宋"/>
          <w:sz w:val="32"/>
        </w:rPr>
        <w:t>%；</w:t>
      </w:r>
      <w:r>
        <w:rPr>
          <w:rFonts w:hint="eastAsia" w:ascii="仿宋" w:hAnsi="仿宋" w:eastAsia="仿宋"/>
          <w:sz w:val="32"/>
          <w:lang w:eastAsia="zh-CN"/>
        </w:rPr>
        <w:t>农林水支出</w:t>
      </w:r>
      <w:r>
        <w:rPr>
          <w:rFonts w:hint="eastAsia" w:ascii="仿宋" w:hAnsi="仿宋" w:eastAsia="仿宋"/>
          <w:sz w:val="32"/>
          <w:lang w:val="en-US" w:eastAsia="zh-CN"/>
        </w:rPr>
        <w:t>98.4万元，</w:t>
      </w:r>
      <w:r>
        <w:rPr>
          <w:rFonts w:hint="eastAsia" w:ascii="仿宋" w:hAnsi="仿宋" w:eastAsia="仿宋"/>
          <w:sz w:val="32"/>
        </w:rPr>
        <w:t>占</w:t>
      </w:r>
      <w:r>
        <w:rPr>
          <w:rFonts w:hint="eastAsia" w:ascii="仿宋" w:hAnsi="仿宋" w:eastAsia="仿宋"/>
          <w:sz w:val="32"/>
          <w:lang w:val="en-US" w:eastAsia="zh-CN"/>
        </w:rPr>
        <w:t>6.18</w:t>
      </w:r>
      <w:r>
        <w:rPr>
          <w:rFonts w:hint="eastAsia" w:ascii="仿宋" w:hAnsi="仿宋" w:eastAsia="仿宋"/>
          <w:sz w:val="32"/>
        </w:rPr>
        <w:t>%；</w:t>
      </w:r>
      <w:r>
        <w:rPr>
          <w:rFonts w:hint="eastAsia" w:ascii="仿宋" w:hAnsi="仿宋" w:eastAsia="仿宋"/>
          <w:sz w:val="32"/>
          <w:lang w:eastAsia="zh-CN"/>
        </w:rPr>
        <w:t>均为项目支出。</w:t>
      </w:r>
    </w:p>
    <w:p>
      <w:pPr>
        <w:spacing w:beforeLines="0" w:afterLines="0"/>
        <w:ind w:firstLine="640"/>
        <w:jc w:val="left"/>
        <w:rPr>
          <w:rFonts w:hint="eastAsia" w:ascii="仿宋" w:hAnsi="仿宋" w:eastAsia="仿宋"/>
          <w:sz w:val="32"/>
        </w:rPr>
      </w:pPr>
      <w:r>
        <w:rPr>
          <w:rFonts w:hint="eastAsia" w:ascii="楷体" w:hAnsi="楷体" w:eastAsia="楷体"/>
          <w:sz w:val="32"/>
        </w:rPr>
        <w:t>（三）具体情况。</w:t>
      </w:r>
    </w:p>
    <w:p>
      <w:pPr>
        <w:spacing w:beforeLines="0" w:afterLines="0"/>
        <w:ind w:firstLine="640"/>
        <w:rPr>
          <w:rFonts w:hint="eastAsia" w:ascii="仿宋" w:hAnsi="仿宋" w:eastAsia="仿宋"/>
          <w:color w:val="0000FF"/>
          <w:sz w:val="32"/>
          <w:lang w:val="en-US" w:eastAsia="zh-CN"/>
        </w:rPr>
      </w:pPr>
      <w:r>
        <w:rPr>
          <w:rFonts w:hint="eastAsia" w:ascii="仿宋" w:hAnsi="仿宋" w:eastAsia="仿宋"/>
          <w:sz w:val="32"/>
        </w:rPr>
        <w:t>2017年度一般公共预算财政拨款支出年初预算为1,502.58万元，支出决算为1,600.98万元，完成年初预算的</w:t>
      </w:r>
      <w:r>
        <w:rPr>
          <w:rFonts w:hint="eastAsia" w:ascii="仿宋" w:hAnsi="仿宋" w:eastAsia="仿宋"/>
          <w:sz w:val="32"/>
          <w:lang w:val="en-US" w:eastAsia="zh-CN"/>
        </w:rPr>
        <w:t>106.55</w:t>
      </w:r>
      <w:r>
        <w:rPr>
          <w:rFonts w:hint="eastAsia" w:ascii="仿宋" w:hAnsi="仿宋" w:eastAsia="仿宋"/>
          <w:sz w:val="32"/>
        </w:rPr>
        <w:t>%。决算数与年初预算数存在差异的主要原因：</w:t>
      </w:r>
      <w:r>
        <w:rPr>
          <w:rFonts w:hint="eastAsia" w:ascii="仿宋" w:hAnsi="仿宋" w:eastAsia="仿宋"/>
          <w:color w:val="000000" w:themeColor="text1"/>
          <w:sz w:val="32"/>
        </w:rPr>
        <w:t>一是</w:t>
      </w:r>
      <w:r>
        <w:rPr>
          <w:rFonts w:hint="eastAsia" w:ascii="仿宋" w:hAnsi="仿宋" w:eastAsia="仿宋"/>
          <w:color w:val="000000" w:themeColor="text1"/>
          <w:sz w:val="32"/>
          <w:lang w:eastAsia="zh-CN"/>
        </w:rPr>
        <w:t>资金了农林水支出</w:t>
      </w:r>
      <w:r>
        <w:rPr>
          <w:rFonts w:hint="eastAsia" w:ascii="仿宋" w:hAnsi="仿宋" w:eastAsia="仿宋"/>
          <w:color w:val="000000" w:themeColor="text1"/>
          <w:sz w:val="32"/>
          <w:lang w:val="en-US" w:eastAsia="zh-CN"/>
        </w:rPr>
        <w:t>98.4万元，主要用于农村环境综合整治项目，加大农村污水处理和垃圾处理项目投入。其中:</w:t>
      </w:r>
    </w:p>
    <w:p>
      <w:pPr>
        <w:spacing w:beforeLines="0" w:afterLines="0"/>
        <w:ind w:firstLine="640"/>
        <w:rPr>
          <w:rFonts w:hint="eastAsia" w:ascii="仿宋_GB2312" w:hAnsi="仿宋_GB2312" w:eastAsia="仿宋_GB2312" w:cs="仿宋_GB2312"/>
          <w:sz w:val="32"/>
          <w:szCs w:val="32"/>
        </w:rPr>
      </w:pPr>
      <w:r>
        <w:rPr>
          <w:rFonts w:hint="eastAsia" w:ascii="仿宋" w:hAnsi="仿宋" w:eastAsia="仿宋"/>
          <w:color w:val="000000" w:themeColor="text1"/>
          <w:sz w:val="32"/>
          <w:lang w:val="en-US" w:eastAsia="zh-CN"/>
        </w:rPr>
        <w:t>1、</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环境保护管理</w:t>
      </w:r>
      <w:r>
        <w:rPr>
          <w:rFonts w:hint="eastAsia" w:ascii="仿宋_GB2312" w:hAnsi="仿宋_GB2312" w:eastAsia="仿宋_GB2312" w:cs="仿宋_GB2312"/>
          <w:b/>
          <w:bCs/>
          <w:sz w:val="32"/>
          <w:szCs w:val="32"/>
        </w:rPr>
        <w:t>事务（款）行政运行（项）。</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226.58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226.58</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环境保护管理</w:t>
      </w:r>
      <w:r>
        <w:rPr>
          <w:rFonts w:hint="eastAsia" w:ascii="仿宋_GB2312" w:hAnsi="仿宋_GB2312" w:eastAsia="仿宋_GB2312" w:cs="仿宋_GB2312"/>
          <w:b/>
          <w:bCs/>
          <w:sz w:val="32"/>
          <w:szCs w:val="32"/>
        </w:rPr>
        <w:t>事务（款）</w:t>
      </w:r>
      <w:r>
        <w:rPr>
          <w:rFonts w:hint="eastAsia" w:ascii="仿宋_GB2312" w:hAnsi="仿宋_GB2312" w:eastAsia="仿宋_GB2312" w:cs="仿宋_GB2312"/>
          <w:b/>
          <w:bCs/>
          <w:sz w:val="32"/>
          <w:szCs w:val="32"/>
          <w:lang w:eastAsia="zh-CN"/>
        </w:rPr>
        <w:t>环境保护宣传</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环境监测与监察</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其他环境监测与监察</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污染防治</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大气</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污染防治</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水体</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680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680</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
          <w:bCs/>
          <w:sz w:val="32"/>
          <w:szCs w:val="32"/>
          <w:lang w:eastAsia="zh-CN"/>
        </w:rPr>
        <w:t>节能环保支出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污染减排</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环境执法监察</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万元，完成年初预算的100%。</w:t>
      </w:r>
    </w:p>
    <w:p>
      <w:pPr>
        <w:numPr>
          <w:ilvl w:val="0"/>
          <w:numId w:val="0"/>
        </w:numPr>
        <w:adjustRightInd w:val="0"/>
        <w:snapToGrid w:val="0"/>
        <w:spacing w:line="360"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b/>
          <w:bCs/>
          <w:sz w:val="32"/>
          <w:szCs w:val="32"/>
          <w:lang w:eastAsia="zh-CN"/>
        </w:rPr>
        <w:t>农林水支出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扶贫</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生成发展</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98.4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决算与年初预算差异原因是为上级下达指标款。</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一般公共预算财政拨款基本支出决算情况说明</w:t>
      </w:r>
    </w:p>
    <w:p>
      <w:pPr>
        <w:spacing w:beforeLines="0" w:afterLines="0"/>
        <w:ind w:firstLine="640"/>
        <w:jc w:val="left"/>
        <w:rPr>
          <w:rFonts w:hint="eastAsia" w:ascii="宋体" w:hAnsi="宋体" w:eastAsia="宋体" w:cs="宋体"/>
          <w:sz w:val="32"/>
        </w:rPr>
      </w:pPr>
      <w:r>
        <w:rPr>
          <w:rFonts w:hint="eastAsia" w:ascii="仿宋" w:hAnsi="仿宋" w:eastAsia="仿宋"/>
          <w:sz w:val="32"/>
        </w:rPr>
        <w:t>2017年一般公共预算财政拨款基本支出476.58万元。与2016年相比，</w:t>
      </w:r>
      <w:r>
        <w:rPr>
          <w:rFonts w:hint="eastAsia" w:ascii="仿宋" w:hAnsi="仿宋" w:eastAsia="仿宋"/>
          <w:sz w:val="32"/>
          <w:lang w:eastAsia="zh-CN"/>
        </w:rPr>
        <w:t>增加</w:t>
      </w:r>
      <w:r>
        <w:rPr>
          <w:rFonts w:hint="eastAsia" w:ascii="仿宋" w:hAnsi="仿宋" w:eastAsia="仿宋"/>
          <w:sz w:val="32"/>
          <w:lang w:val="en-US" w:eastAsia="zh-CN"/>
        </w:rPr>
        <w:t>122.68</w:t>
      </w:r>
      <w:r>
        <w:rPr>
          <w:rFonts w:hint="eastAsia" w:ascii="仿宋" w:hAnsi="仿宋" w:eastAsia="仿宋"/>
          <w:sz w:val="32"/>
        </w:rPr>
        <w:t>万元，</w:t>
      </w:r>
      <w:r>
        <w:rPr>
          <w:rFonts w:hint="eastAsia" w:ascii="仿宋" w:hAnsi="仿宋" w:eastAsia="仿宋"/>
          <w:sz w:val="32"/>
          <w:lang w:eastAsia="zh-CN"/>
        </w:rPr>
        <w:t>增加</w:t>
      </w:r>
      <w:r>
        <w:rPr>
          <w:rFonts w:hint="eastAsia" w:ascii="仿宋" w:hAnsi="仿宋" w:eastAsia="仿宋"/>
          <w:sz w:val="32"/>
          <w:lang w:val="en-US" w:eastAsia="zh-CN"/>
        </w:rPr>
        <w:t>25.73</w:t>
      </w:r>
      <w:r>
        <w:rPr>
          <w:rFonts w:hint="eastAsia" w:ascii="仿宋" w:hAnsi="仿宋" w:eastAsia="仿宋"/>
          <w:sz w:val="32"/>
        </w:rPr>
        <w:t>%。变动的主要原因：</w:t>
      </w:r>
      <w:r>
        <w:rPr>
          <w:rFonts w:hint="eastAsia" w:ascii="仿宋" w:hAnsi="仿宋" w:eastAsia="仿宋"/>
          <w:sz w:val="32"/>
          <w:lang w:eastAsia="zh-CN"/>
        </w:rPr>
        <w:t>减少了</w:t>
      </w:r>
      <w:r>
        <w:rPr>
          <w:rFonts w:hint="eastAsia" w:ascii="仿宋" w:hAnsi="仿宋" w:eastAsia="仿宋"/>
          <w:sz w:val="32"/>
          <w:lang w:val="en-US" w:eastAsia="zh-CN"/>
        </w:rPr>
        <w:t>2个退休人员的人员经费，增加了公务经费，公务经费增加的主要原因是加大了大气、水体、土壤污染治理力度和督导力度</w:t>
      </w:r>
      <w:r>
        <w:rPr>
          <w:rFonts w:hint="eastAsia" w:ascii="仿宋" w:hAnsi="仿宋" w:eastAsia="仿宋"/>
          <w:sz w:val="32"/>
        </w:rPr>
        <w:t>。其中：人员经费</w:t>
      </w:r>
      <w:r>
        <w:rPr>
          <w:rFonts w:hint="eastAsia" w:ascii="仿宋" w:hAnsi="仿宋" w:eastAsia="仿宋"/>
          <w:sz w:val="32"/>
          <w:lang w:val="en-US" w:eastAsia="zh-CN"/>
        </w:rPr>
        <w:t>161.18</w:t>
      </w:r>
      <w:r>
        <w:rPr>
          <w:rFonts w:hint="eastAsia" w:ascii="仿宋" w:hAnsi="仿宋" w:eastAsia="仿宋"/>
          <w:sz w:val="32"/>
        </w:rPr>
        <w:t>万元，主要包括：基本工资、津贴补贴、</w:t>
      </w:r>
      <w:r>
        <w:rPr>
          <w:rFonts w:hint="eastAsia" w:ascii="仿宋" w:hAnsi="仿宋" w:eastAsia="仿宋"/>
          <w:sz w:val="32"/>
          <w:lang w:eastAsia="zh-CN"/>
        </w:rPr>
        <w:t>奖励金、生活补助</w:t>
      </w:r>
      <w:r>
        <w:rPr>
          <w:rFonts w:hint="eastAsia" w:ascii="仿宋" w:hAnsi="仿宋" w:eastAsia="仿宋"/>
          <w:sz w:val="32"/>
        </w:rPr>
        <w:t>、</w:t>
      </w:r>
      <w:r>
        <w:rPr>
          <w:rFonts w:hint="eastAsia" w:ascii="仿宋" w:hAnsi="仿宋" w:eastAsia="仿宋"/>
          <w:sz w:val="32"/>
          <w:lang w:eastAsia="zh-CN"/>
        </w:rPr>
        <w:t>对个人和家庭的补助等</w:t>
      </w:r>
      <w:r>
        <w:rPr>
          <w:rFonts w:hint="eastAsia" w:ascii="仿宋" w:hAnsi="仿宋" w:eastAsia="仿宋"/>
          <w:sz w:val="32"/>
        </w:rPr>
        <w:t>；公用经费315.4万元，主要包括：</w:t>
      </w:r>
      <w:r>
        <w:rPr>
          <w:rFonts w:hint="eastAsia" w:ascii="宋体" w:hAnsi="宋体" w:eastAsia="宋体" w:cs="宋体"/>
          <w:sz w:val="32"/>
          <w:szCs w:val="32"/>
        </w:rPr>
        <w:t>办公费、印刷费、邮电费、差旅费、劳务费</w:t>
      </w:r>
      <w:r>
        <w:rPr>
          <w:rFonts w:hint="eastAsia" w:ascii="宋体" w:hAnsi="宋体" w:eastAsia="宋体" w:cs="宋体"/>
          <w:sz w:val="32"/>
          <w:szCs w:val="32"/>
          <w:lang w:eastAsia="zh-CN"/>
        </w:rPr>
        <w:t>、租赁费、维修费专用燃料</w:t>
      </w:r>
      <w:r>
        <w:rPr>
          <w:rFonts w:hint="eastAsia" w:ascii="宋体" w:hAnsi="宋体" w:eastAsia="宋体" w:cs="宋体"/>
          <w:sz w:val="32"/>
          <w:szCs w:val="32"/>
        </w:rPr>
        <w:t>等</w:t>
      </w:r>
      <w:r>
        <w:rPr>
          <w:rFonts w:hint="eastAsia" w:ascii="宋体" w:hAnsi="宋体" w:eastAsia="宋体" w:cs="宋体"/>
          <w:sz w:val="32"/>
          <w:szCs w:val="32"/>
          <w:lang w:eastAsia="zh-CN"/>
        </w:rPr>
        <w:t>支出</w:t>
      </w:r>
      <w:r>
        <w:rPr>
          <w:rFonts w:hint="eastAsia" w:ascii="宋体" w:hAnsi="宋体" w:eastAsia="宋体" w:cs="宋体"/>
          <w:sz w:val="32"/>
        </w:rPr>
        <w:t>。</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一般公共预算财政拨款“三公”经费支出决算情况说明</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（一）“三公”经费财政拨款支出决算总体情况说明。</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2017年度“三公”经费财政拨款支出预算为0万元，支出决算0万元，完成预算的0%。</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“三公”经费财政拨款支出决算具体情况说明。</w:t>
      </w:r>
    </w:p>
    <w:p>
      <w:pPr>
        <w:pStyle w:val="2"/>
        <w:kinsoku w:val="0"/>
        <w:overflowPunct w:val="0"/>
        <w:snapToGrid w:val="0"/>
        <w:spacing w:line="360" w:lineRule="auto"/>
        <w:ind w:left="0" w:leftChars="0" w:firstLine="640" w:firstLineChars="200"/>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b w:val="0"/>
          <w:color w:val="000000"/>
          <w:lang w:val="en-US" w:eastAsia="zh-CN"/>
        </w:rPr>
        <w:t>2017年度</w:t>
      </w:r>
      <w:r>
        <w:rPr>
          <w:rFonts w:hint="eastAsia" w:ascii="仿宋_GB2312" w:hAnsi="仿宋_GB2312" w:eastAsia="仿宋_GB2312" w:cs="仿宋_GB2312"/>
          <w:sz w:val="32"/>
          <w:szCs w:val="32"/>
          <w:lang w:eastAsia="zh-CN"/>
        </w:rPr>
        <w:t>“三公”经费财政拨款支出决算中，因公出国（境）支出决算</w:t>
      </w:r>
      <w:r>
        <w:rPr>
          <w:rFonts w:hint="eastAsia" w:ascii="仿宋_GB2312" w:hAnsi="仿宋_GB2312" w:eastAsia="仿宋_GB2312" w:cs="仿宋_GB2312"/>
          <w:sz w:val="32"/>
          <w:szCs w:val="32"/>
          <w:lang w:val="en-US" w:eastAsia="zh-CN"/>
        </w:rPr>
        <w:t>0万元;公务用车购置及运行费支出决算0万元，完成预算的0%，占比0%；公务接待费支出决算0万元，完成预算的0%，占比0%。具体情况如下：</w:t>
      </w:r>
    </w:p>
    <w:p>
      <w:pPr>
        <w:pStyle w:val="2"/>
        <w:kinsoku w:val="0"/>
        <w:overflowPunct w:val="0"/>
        <w:snapToGrid w:val="0"/>
        <w:spacing w:line="360" w:lineRule="auto"/>
        <w:ind w:left="0" w:leftChars="0" w:firstLine="640" w:firstLineChars="200"/>
        <w:rPr>
          <w:rFonts w:hint="eastAsia" w:ascii="仿宋_GB2312" w:hAnsi="仿宋_GB2312" w:eastAsia="仿宋_GB2312" w:cs="仿宋_GB2312"/>
          <w:color w:val="000000"/>
        </w:rPr>
      </w:pPr>
      <w:r>
        <w:rPr>
          <w:rStyle w:val="7"/>
          <w:rFonts w:hint="eastAsia" w:ascii="仿宋_GB2312" w:hAnsi="仿宋_GB2312" w:eastAsia="仿宋_GB2312" w:cs="仿宋_GB2312"/>
          <w:b w:val="0"/>
          <w:color w:val="000000"/>
        </w:rPr>
        <w:t>1．因公出国（境）费用为0万元。</w:t>
      </w:r>
      <w:r>
        <w:rPr>
          <w:rStyle w:val="7"/>
          <w:rFonts w:hint="eastAsia" w:ascii="仿宋_GB2312" w:hAnsi="仿宋_GB2312" w:eastAsia="仿宋_GB2312" w:cs="仿宋_GB2312"/>
          <w:b w:val="0"/>
          <w:color w:val="000000"/>
          <w:lang w:eastAsia="zh-CN"/>
        </w:rPr>
        <w:t>全年安排因公出国（境）团组</w:t>
      </w:r>
      <w:r>
        <w:rPr>
          <w:rStyle w:val="7"/>
          <w:rFonts w:hint="eastAsia" w:ascii="仿宋_GB2312" w:hAnsi="仿宋_GB2312" w:eastAsia="仿宋_GB2312" w:cs="仿宋_GB2312"/>
          <w:b w:val="0"/>
          <w:color w:val="000000"/>
          <w:lang w:val="en-US" w:eastAsia="zh-CN"/>
        </w:rPr>
        <w:t>0个，累计0人次。</w:t>
      </w:r>
      <w:r>
        <w:rPr>
          <w:rFonts w:hint="eastAsia" w:ascii="仿宋_GB2312" w:hAnsi="仿宋_GB2312" w:eastAsia="仿宋_GB2312" w:cs="仿宋_GB2312"/>
          <w:b/>
          <w:color w:val="000000"/>
        </w:rPr>
        <w:br w:type="textWrapping"/>
      </w:r>
      <w:r>
        <w:rPr>
          <w:rFonts w:hint="eastAsia" w:ascii="仿宋_GB2312" w:hAnsi="仿宋_GB2312" w:eastAsia="仿宋_GB2312" w:cs="仿宋_GB2312"/>
          <w:b/>
          <w:color w:val="000000"/>
          <w:lang w:val="en-US" w:eastAsia="zh-CN"/>
        </w:rPr>
        <w:t xml:space="preserve">    </w:t>
      </w:r>
      <w:r>
        <w:rPr>
          <w:rStyle w:val="7"/>
          <w:rFonts w:hint="eastAsia" w:ascii="仿宋_GB2312" w:hAnsi="仿宋_GB2312" w:eastAsia="仿宋_GB2312" w:cs="仿宋_GB2312"/>
          <w:b w:val="0"/>
          <w:color w:val="000000"/>
        </w:rPr>
        <w:t>2.公务用车购置及运行费</w:t>
      </w:r>
      <w:r>
        <w:rPr>
          <w:rStyle w:val="14"/>
          <w:rFonts w:hint="eastAsia" w:ascii="仿宋_GB2312" w:hAnsi="仿宋_GB2312" w:eastAsia="仿宋_GB2312" w:cs="仿宋_GB2312"/>
          <w:b w:val="0"/>
        </w:rPr>
        <w:t>支出为0万元</w:t>
      </w:r>
      <w:r>
        <w:rPr>
          <w:rFonts w:hint="eastAsia" w:ascii="仿宋_GB2312" w:hAnsi="仿宋_GB2312" w:eastAsia="仿宋_GB2312" w:cs="仿宋_GB2312"/>
          <w:color w:val="000000"/>
        </w:rPr>
        <w:t>。其中：</w:t>
      </w:r>
    </w:p>
    <w:p>
      <w:pPr>
        <w:pStyle w:val="2"/>
        <w:kinsoku w:val="0"/>
        <w:overflowPunct w:val="0"/>
        <w:snapToGrid w:val="0"/>
        <w:spacing w:line="360" w:lineRule="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rPr>
        <w:t>公务用车购置支出0万元</w:t>
      </w:r>
      <w:r>
        <w:rPr>
          <w:rFonts w:hint="eastAsia" w:ascii="仿宋_GB2312" w:hAnsi="仿宋_GB2312" w:eastAsia="仿宋_GB2312" w:cs="仿宋_GB2312"/>
          <w:color w:val="000000"/>
          <w:lang w:eastAsia="zh-CN"/>
        </w:rPr>
        <w:t>，购置车辆</w:t>
      </w:r>
      <w:r>
        <w:rPr>
          <w:rFonts w:hint="eastAsia" w:ascii="仿宋_GB2312" w:hAnsi="仿宋_GB2312" w:eastAsia="仿宋_GB2312" w:cs="仿宋_GB2312"/>
          <w:color w:val="000000"/>
          <w:lang w:val="en-US" w:eastAsia="zh-CN"/>
        </w:rPr>
        <w:t>0台。</w:t>
      </w:r>
    </w:p>
    <w:p>
      <w:pPr>
        <w:pStyle w:val="2"/>
        <w:kinsoku w:val="0"/>
        <w:overflowPunct w:val="0"/>
        <w:snapToGrid w:val="0"/>
        <w:spacing w:line="360"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公务用车运行支出0万元。</w:t>
      </w:r>
    </w:p>
    <w:p>
      <w:pPr>
        <w:pStyle w:val="2"/>
        <w:numPr>
          <w:ilvl w:val="0"/>
          <w:numId w:val="0"/>
        </w:numPr>
        <w:kinsoku w:val="0"/>
        <w:overflowPunct w:val="0"/>
        <w:snapToGrid w:val="0"/>
        <w:spacing w:line="360" w:lineRule="auto"/>
        <w:ind w:firstLine="640" w:firstLineChars="200"/>
        <w:rPr>
          <w:rStyle w:val="7"/>
          <w:rFonts w:hint="eastAsia" w:ascii="仿宋_GB2312" w:hAnsi="仿宋_GB2312" w:eastAsia="仿宋_GB2312" w:cs="仿宋_GB2312"/>
          <w:b w:val="0"/>
          <w:color w:val="000000"/>
          <w:lang w:eastAsia="zh-CN"/>
        </w:rPr>
      </w:pPr>
      <w:r>
        <w:rPr>
          <w:rStyle w:val="7"/>
          <w:rFonts w:hint="eastAsia" w:ascii="仿宋_GB2312" w:hAnsi="仿宋_GB2312" w:eastAsia="仿宋_GB2312" w:cs="仿宋_GB2312"/>
          <w:b w:val="0"/>
          <w:color w:val="000000"/>
          <w:lang w:val="en-US" w:eastAsia="zh-CN"/>
        </w:rPr>
        <w:t>3.</w:t>
      </w:r>
      <w:r>
        <w:rPr>
          <w:rStyle w:val="7"/>
          <w:rFonts w:hint="eastAsia" w:ascii="仿宋_GB2312" w:hAnsi="仿宋_GB2312" w:eastAsia="仿宋_GB2312" w:cs="仿宋_GB2312"/>
          <w:b w:val="0"/>
          <w:color w:val="000000"/>
        </w:rPr>
        <w:t>公务接待费支出0万元。</w:t>
      </w:r>
      <w:r>
        <w:rPr>
          <w:rStyle w:val="7"/>
          <w:rFonts w:hint="eastAsia" w:ascii="仿宋_GB2312" w:hAnsi="仿宋_GB2312" w:eastAsia="仿宋_GB2312" w:cs="仿宋_GB2312"/>
          <w:b w:val="0"/>
          <w:color w:val="000000"/>
          <w:lang w:eastAsia="zh-CN"/>
        </w:rPr>
        <w:t>其中：</w:t>
      </w:r>
    </w:p>
    <w:p>
      <w:pPr>
        <w:pStyle w:val="2"/>
        <w:numPr>
          <w:ilvl w:val="0"/>
          <w:numId w:val="0"/>
        </w:numPr>
        <w:kinsoku w:val="0"/>
        <w:overflowPunct w:val="0"/>
        <w:snapToGrid w:val="0"/>
        <w:spacing w:line="360" w:lineRule="auto"/>
        <w:ind w:leftChars="200"/>
        <w:rPr>
          <w:rStyle w:val="7"/>
          <w:rFonts w:hint="eastAsia" w:ascii="仿宋_GB2312" w:hAnsi="仿宋_GB2312" w:eastAsia="仿宋_GB2312" w:cs="仿宋_GB2312"/>
          <w:b w:val="0"/>
          <w:color w:val="000000"/>
          <w:lang w:val="en-US" w:eastAsia="zh-CN"/>
        </w:rPr>
      </w:pPr>
      <w:r>
        <w:rPr>
          <w:rStyle w:val="7"/>
          <w:rFonts w:hint="eastAsia" w:ascii="仿宋_GB2312" w:hAnsi="仿宋_GB2312" w:eastAsia="仿宋_GB2312" w:cs="仿宋_GB2312"/>
          <w:b w:val="0"/>
          <w:color w:val="000000"/>
          <w:lang w:val="en-US" w:eastAsia="zh-CN"/>
        </w:rPr>
        <w:t xml:space="preserve">  外宾接待支出0万元。</w:t>
      </w:r>
    </w:p>
    <w:p>
      <w:pPr>
        <w:pStyle w:val="2"/>
        <w:numPr>
          <w:ilvl w:val="0"/>
          <w:numId w:val="0"/>
        </w:numPr>
        <w:kinsoku w:val="0"/>
        <w:overflowPunct w:val="0"/>
        <w:snapToGrid w:val="0"/>
        <w:spacing w:line="360" w:lineRule="auto"/>
        <w:ind w:leftChars="200"/>
        <w:rPr>
          <w:rStyle w:val="7"/>
          <w:rFonts w:hint="eastAsia" w:ascii="仿宋_GB2312" w:hAnsi="仿宋_GB2312" w:eastAsia="仿宋_GB2312" w:cs="仿宋_GB2312"/>
          <w:b w:val="0"/>
          <w:color w:val="000000"/>
          <w:lang w:val="en-US" w:eastAsia="zh-CN"/>
        </w:rPr>
      </w:pPr>
      <w:r>
        <w:rPr>
          <w:rStyle w:val="7"/>
          <w:rFonts w:hint="eastAsia" w:ascii="仿宋_GB2312" w:hAnsi="仿宋_GB2312" w:eastAsia="仿宋_GB2312" w:cs="仿宋_GB2312"/>
          <w:b w:val="0"/>
          <w:color w:val="000000"/>
          <w:lang w:val="en-US" w:eastAsia="zh-CN"/>
        </w:rPr>
        <w:t xml:space="preserve">  其他国内公务接待支出0万元。</w:t>
      </w:r>
    </w:p>
    <w:p>
      <w:pPr>
        <w:pStyle w:val="2"/>
        <w:numPr>
          <w:ilvl w:val="0"/>
          <w:numId w:val="0"/>
        </w:numPr>
        <w:kinsoku w:val="0"/>
        <w:overflowPunct w:val="0"/>
        <w:snapToGrid w:val="0"/>
        <w:spacing w:line="360" w:lineRule="auto"/>
        <w:ind w:firstLine="640" w:firstLineChars="200"/>
        <w:rPr>
          <w:rStyle w:val="7"/>
          <w:rFonts w:hint="eastAsia" w:ascii="仿宋_GB2312" w:hAnsi="仿宋_GB2312" w:eastAsia="仿宋_GB2312" w:cs="仿宋_GB2312"/>
          <w:b w:val="0"/>
          <w:color w:val="000000"/>
          <w:lang w:val="en-US" w:eastAsia="zh-CN"/>
        </w:rPr>
      </w:pPr>
      <w:r>
        <w:rPr>
          <w:rStyle w:val="7"/>
          <w:rFonts w:hint="eastAsia" w:ascii="仿宋_GB2312" w:hAnsi="仿宋_GB2312" w:eastAsia="仿宋_GB2312" w:cs="仿宋_GB2312"/>
          <w:b w:val="0"/>
          <w:color w:val="000000"/>
          <w:lang w:val="en-US" w:eastAsia="zh-CN"/>
        </w:rPr>
        <w:t>台前县</w:t>
      </w:r>
      <w:r>
        <w:rPr>
          <w:rStyle w:val="7"/>
          <w:rFonts w:hint="eastAsia" w:hAnsi="仿宋_GB2312" w:cs="仿宋_GB2312"/>
          <w:b w:val="0"/>
          <w:color w:val="000000"/>
          <w:lang w:val="en-US" w:eastAsia="zh-CN"/>
        </w:rPr>
        <w:t>环保</w:t>
      </w:r>
      <w:r>
        <w:rPr>
          <w:rStyle w:val="7"/>
          <w:rFonts w:hint="eastAsia" w:ascii="仿宋_GB2312" w:hAnsi="仿宋_GB2312" w:eastAsia="仿宋_GB2312" w:cs="仿宋_GB2312"/>
          <w:b w:val="0"/>
          <w:color w:val="000000"/>
          <w:lang w:val="en-US" w:eastAsia="zh-CN"/>
        </w:rPr>
        <w:t>局2017年度共接待国内来访团组0个、来访人员0人此（不包括陪同人员）。</w:t>
      </w:r>
    </w:p>
    <w:p>
      <w:pPr>
        <w:spacing w:beforeLines="0" w:afterLines="0"/>
        <w:ind w:firstLine="640"/>
        <w:jc w:val="left"/>
        <w:rPr>
          <w:rFonts w:hint="eastAsia" w:ascii="仿宋" w:hAnsi="仿宋" w:eastAsia="仿宋"/>
          <w:sz w:val="32"/>
        </w:rPr>
      </w:pPr>
      <w:r>
        <w:rPr>
          <w:rFonts w:hint="eastAsia" w:ascii="黑体" w:hAnsi="黑体" w:eastAsia="黑体"/>
          <w:sz w:val="32"/>
        </w:rPr>
        <w:t>八、预算绩效情况说明</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（一）绩效管理工作开展情况。</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根据上级财政部署，我局充分认识到加强预算绩效管理工作的重要性和紧迫性，积极落实上级相关文件精神，不断强化绩效理念，加强绩效评价管理与资金监管相互融合，绩效评价在全过程管理机制不断完善。 </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（二）项目绩效自评结果。</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绩效评价制度体系尚不完善，绩效评价仍处于积极探索阶段，绩效评价指标体系还不完善。下一步，我局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spacing w:beforeLines="0" w:afterLines="0"/>
        <w:ind w:firstLine="640"/>
        <w:jc w:val="left"/>
        <w:rPr>
          <w:rFonts w:hint="eastAsia" w:ascii="仿宋" w:hAnsi="仿宋" w:eastAsia="仿宋"/>
          <w:sz w:val="32"/>
          <w:lang w:val="en-US" w:eastAsia="zh-CN"/>
        </w:rPr>
      </w:pPr>
      <w:r>
        <w:rPr>
          <w:rFonts w:hint="eastAsia" w:ascii="仿宋" w:hAnsi="仿宋" w:eastAsia="仿宋"/>
          <w:sz w:val="32"/>
          <w:lang w:val="en-US" w:eastAsia="zh-CN"/>
        </w:rPr>
        <w:t>2017年度未开展绩效自评工作。</w:t>
      </w:r>
    </w:p>
    <w:p>
      <w:pPr>
        <w:spacing w:beforeLines="0" w:afterLines="0"/>
        <w:ind w:firstLine="640"/>
        <w:jc w:val="left"/>
        <w:rPr>
          <w:rFonts w:hint="eastAsia" w:ascii="仿宋" w:hAnsi="仿宋" w:eastAsia="仿宋"/>
          <w:sz w:val="32"/>
        </w:rPr>
      </w:pPr>
      <w:r>
        <w:rPr>
          <w:rFonts w:hint="eastAsia" w:ascii="黑体" w:hAnsi="黑体" w:eastAsia="黑体"/>
          <w:sz w:val="32"/>
        </w:rPr>
        <w:t>九、政府性基金预算财政拨款支出决算情况说明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台前县环保局</w:t>
      </w: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年度没有政府性基金收入，也没有使用政府性基金安排的支出。</w:t>
      </w:r>
    </w:p>
    <w:p>
      <w:pPr>
        <w:spacing w:beforeLines="0" w:afterLines="0"/>
        <w:ind w:firstLine="640"/>
        <w:jc w:val="left"/>
        <w:rPr>
          <w:rFonts w:hint="eastAsia" w:ascii="仿宋" w:hAnsi="仿宋" w:eastAsia="仿宋"/>
          <w:sz w:val="32"/>
        </w:rPr>
      </w:pPr>
      <w:r>
        <w:rPr>
          <w:rFonts w:hint="eastAsia" w:ascii="黑体" w:hAnsi="黑体" w:eastAsia="黑体"/>
          <w:sz w:val="32"/>
        </w:rPr>
        <w:t>十、机关运行经费支出情况说明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2017年度机关运行经费支出</w:t>
      </w:r>
      <w:r>
        <w:rPr>
          <w:rFonts w:hint="eastAsia" w:ascii="仿宋" w:hAnsi="仿宋" w:eastAsia="仿宋"/>
          <w:sz w:val="32"/>
          <w:lang w:val="en-US" w:eastAsia="zh-CN"/>
        </w:rPr>
        <w:t>315.4</w:t>
      </w:r>
      <w:r>
        <w:rPr>
          <w:rFonts w:hint="eastAsia" w:ascii="仿宋" w:hAnsi="仿宋" w:eastAsia="仿宋"/>
          <w:sz w:val="32"/>
        </w:rPr>
        <w:t>万元，较2016年度</w:t>
      </w:r>
      <w:r>
        <w:rPr>
          <w:rFonts w:hint="eastAsia" w:ascii="仿宋" w:hAnsi="仿宋" w:eastAsia="仿宋"/>
          <w:sz w:val="32"/>
          <w:lang w:eastAsia="zh-CN"/>
        </w:rPr>
        <w:t>增加</w:t>
      </w:r>
      <w:r>
        <w:rPr>
          <w:rFonts w:hint="eastAsia" w:ascii="仿宋" w:hAnsi="仿宋" w:eastAsia="仿宋"/>
          <w:sz w:val="32"/>
          <w:lang w:val="en-US" w:eastAsia="zh-CN"/>
        </w:rPr>
        <w:t>157.85</w:t>
      </w:r>
      <w:r>
        <w:rPr>
          <w:rFonts w:hint="eastAsia" w:ascii="仿宋" w:hAnsi="仿宋" w:eastAsia="仿宋"/>
          <w:sz w:val="32"/>
        </w:rPr>
        <w:t>万元，</w:t>
      </w:r>
      <w:r>
        <w:rPr>
          <w:rFonts w:hint="eastAsia" w:ascii="仿宋" w:hAnsi="仿宋" w:eastAsia="仿宋"/>
          <w:sz w:val="32"/>
          <w:lang w:val="en-US" w:eastAsia="zh-CN"/>
        </w:rPr>
        <w:t>100.19</w:t>
      </w:r>
      <w:r>
        <w:rPr>
          <w:rFonts w:hint="eastAsia" w:ascii="仿宋" w:hAnsi="仿宋" w:eastAsia="仿宋"/>
          <w:sz w:val="32"/>
        </w:rPr>
        <w:t>%。的主要原因是：</w:t>
      </w:r>
      <w:r>
        <w:rPr>
          <w:rFonts w:hint="eastAsia" w:ascii="仿宋" w:hAnsi="仿宋" w:eastAsia="仿宋"/>
          <w:sz w:val="32"/>
          <w:lang w:eastAsia="zh-CN"/>
        </w:rPr>
        <w:t>加大了大气、水、土壤污染治理和督导力度，加大了大气、水、土壤污染防治宣传</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十一、政府采购支出情况说明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2017年度政府采购支出总额0万元，其中：政府采购货物支出</w:t>
      </w:r>
      <w:r>
        <w:rPr>
          <w:rFonts w:hint="eastAsia" w:ascii="仿宋" w:hAnsi="仿宋" w:eastAsia="仿宋"/>
          <w:sz w:val="32"/>
          <w:lang w:val="en-US" w:eastAsia="zh-CN"/>
        </w:rPr>
        <w:t>40.98</w:t>
      </w:r>
      <w:r>
        <w:rPr>
          <w:rFonts w:hint="eastAsia" w:ascii="仿宋" w:hAnsi="仿宋" w:eastAsia="仿宋"/>
          <w:sz w:val="32"/>
        </w:rPr>
        <w:t>万元，政府采购工程支出</w:t>
      </w:r>
      <w:r>
        <w:rPr>
          <w:rFonts w:hint="eastAsia" w:ascii="仿宋" w:hAnsi="仿宋" w:eastAsia="仿宋"/>
          <w:sz w:val="32"/>
          <w:lang w:val="en-US" w:eastAsia="zh-CN"/>
        </w:rPr>
        <w:t>110</w:t>
      </w:r>
      <w:r>
        <w:rPr>
          <w:rFonts w:hint="eastAsia" w:ascii="仿宋" w:hAnsi="仿宋" w:eastAsia="仿宋"/>
          <w:sz w:val="32"/>
        </w:rPr>
        <w:t>万元。</w:t>
      </w:r>
    </w:p>
    <w:p>
      <w:pPr>
        <w:spacing w:beforeLines="0" w:afterLines="0"/>
        <w:ind w:firstLine="640"/>
        <w:jc w:val="left"/>
        <w:rPr>
          <w:rFonts w:hint="eastAsia" w:ascii="仿宋" w:hAnsi="仿宋" w:eastAsia="仿宋"/>
          <w:sz w:val="32"/>
        </w:rPr>
      </w:pPr>
      <w:r>
        <w:rPr>
          <w:rFonts w:hint="eastAsia" w:ascii="黑体" w:hAnsi="黑体" w:eastAsia="黑体"/>
          <w:sz w:val="32"/>
        </w:rPr>
        <w:t>十二、国有资产占用情况说明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2017年期末，河南省濮阳市台前县环境保护局共有车辆</w:t>
      </w:r>
      <w:r>
        <w:rPr>
          <w:rFonts w:hint="eastAsia" w:ascii="仿宋" w:hAnsi="仿宋" w:eastAsia="仿宋"/>
          <w:sz w:val="32"/>
          <w:lang w:val="en-US" w:eastAsia="zh-CN"/>
        </w:rPr>
        <w:t>0</w:t>
      </w:r>
      <w:r>
        <w:rPr>
          <w:rFonts w:hint="eastAsia" w:ascii="仿宋" w:hAnsi="仿宋" w:eastAsia="仿宋"/>
          <w:sz w:val="32"/>
        </w:rPr>
        <w:t>辆，其中：一般公务用车0辆、一般执法执勤用车</w:t>
      </w:r>
      <w:r>
        <w:rPr>
          <w:rFonts w:hint="eastAsia" w:ascii="仿宋" w:hAnsi="仿宋" w:eastAsia="仿宋"/>
          <w:sz w:val="32"/>
          <w:lang w:val="en-US" w:eastAsia="zh-CN"/>
        </w:rPr>
        <w:t>0</w:t>
      </w:r>
      <w:r>
        <w:rPr>
          <w:rFonts w:hint="eastAsia" w:ascii="仿宋" w:hAnsi="仿宋" w:eastAsia="仿宋"/>
          <w:sz w:val="32"/>
        </w:rPr>
        <w:t>辆、；单位价值50万元以上通用设备0台（套），单位价值100万元以上专用设备0台（套）。</w:t>
      </w:r>
    </w:p>
    <w:p>
      <w:pPr>
        <w:spacing w:beforeLines="0" w:afterLines="0"/>
        <w:jc w:val="left"/>
        <w:rPr>
          <w:rFonts w:hint="eastAsia" w:ascii="仿宋" w:hAnsi="仿宋" w:eastAsia="仿宋"/>
          <w:sz w:val="32"/>
        </w:rPr>
      </w:pPr>
      <w:r>
        <w:rPr>
          <w:rFonts w:hint="eastAsia" w:ascii="仿宋" w:hAnsi="仿宋" w:eastAsia="仿宋"/>
          <w:sz w:val="32"/>
        </w:rPr>
        <w:t xml:space="preserve">    </w:t>
      </w:r>
      <w:r>
        <w:rPr>
          <w:rFonts w:hint="eastAsia" w:ascii="黑体" w:hAnsi="黑体" w:eastAsia="黑体"/>
          <w:sz w:val="32"/>
        </w:rPr>
        <w:t>十三、其他重要事项的情况说明</w:t>
      </w:r>
    </w:p>
    <w:p>
      <w:pPr>
        <w:jc w:val="left"/>
        <w:rPr>
          <w:rFonts w:hint="eastAsia" w:ascii="仿宋" w:hAnsi="仿宋" w:eastAsia="仿宋"/>
          <w:sz w:val="32"/>
          <w:lang w:eastAsia="zh-CN"/>
        </w:rPr>
      </w:pPr>
      <w:r>
        <w:rPr>
          <w:rFonts w:hint="eastAsia" w:ascii="仿宋" w:hAnsi="仿宋" w:eastAsia="仿宋"/>
          <w:sz w:val="32"/>
        </w:rPr>
        <w:t xml:space="preserve"> </w:t>
      </w:r>
      <w:r>
        <w:rPr>
          <w:rFonts w:hint="eastAsia" w:ascii="仿宋" w:hAnsi="仿宋" w:eastAsia="仿宋"/>
          <w:sz w:val="32"/>
          <w:lang w:val="en-US" w:eastAsia="zh-CN"/>
        </w:rPr>
        <w:t xml:space="preserve">    </w:t>
      </w:r>
      <w:r>
        <w:rPr>
          <w:rFonts w:hint="eastAsia" w:ascii="仿宋" w:hAnsi="仿宋" w:eastAsia="仿宋"/>
          <w:sz w:val="32"/>
        </w:rPr>
        <w:t xml:space="preserve"> </w:t>
      </w:r>
      <w:r>
        <w:rPr>
          <w:rFonts w:hint="eastAsia" w:ascii="仿宋" w:hAnsi="仿宋" w:eastAsia="仿宋"/>
          <w:sz w:val="32"/>
          <w:lang w:eastAsia="zh-CN"/>
        </w:rPr>
        <w:t>环保局无其他需要说明的事项</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第四部分　　名词解释</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单位从同级政府财政部门取得的各类财政拨款。</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六、其他收入：单位取得的除“财政拨款收入”、“事业收入”、“上级补助收入”、“附属单位上缴收入”、“经营收入”等以外的收入。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黑体" w:hAnsi="仿宋_GB2312" w:eastAsia="黑体"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kinsoku w:val="0"/>
        <w:overflowPunct w:val="0"/>
        <w:autoSpaceDE w:val="0"/>
        <w:autoSpaceDN w:val="0"/>
        <w:adjustRightInd w:val="0"/>
        <w:snapToGrid w:val="0"/>
        <w:spacing w:line="360" w:lineRule="auto"/>
        <w:ind w:firstLine="1040" w:firstLineChars="200"/>
        <w:rPr>
          <w:rFonts w:ascii="仿宋_GB2312" w:hAnsi="宋体" w:eastAsia="仿宋_GB2312" w:cs="Courier New"/>
          <w:sz w:val="52"/>
          <w:szCs w:val="52"/>
          <w:highlight w:val="yellow"/>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隶书">
    <w:altName w:val="宋体"/>
    <w:panose1 w:val="02010509060101010101"/>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文本框 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rPr>
                    <w:rFonts w:hint="eastAsia"/>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- 9 -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BF59"/>
    <w:multiLevelType w:val="singleLevel"/>
    <w:tmpl w:val="5971BF59"/>
    <w:lvl w:ilvl="0" w:tentative="0">
      <w:start w:val="1"/>
      <w:numFmt w:val="chineseCounting"/>
      <w:suff w:val="nothing"/>
      <w:lvlText w:val="%1、"/>
      <w:lvlJc w:val="left"/>
      <w:pPr>
        <w:ind w:left="0" w:firstLine="420"/>
      </w:pPr>
      <w:rPr>
        <w:rFonts w:hint="eastAsia"/>
      </w:rPr>
    </w:lvl>
  </w:abstractNum>
  <w:abstractNum w:abstractNumId="2">
    <w:nsid w:val="5971C193"/>
    <w:multiLevelType w:val="singleLevel"/>
    <w:tmpl w:val="5971C193"/>
    <w:lvl w:ilvl="0" w:tentative="0">
      <w:start w:val="2"/>
      <w:numFmt w:val="chineseCounting"/>
      <w:suff w:val="nothing"/>
      <w:lvlText w:val="%1、"/>
      <w:lvlJc w:val="left"/>
    </w:lvl>
  </w:abstractNum>
  <w:abstractNum w:abstractNumId="3">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4">
    <w:nsid w:val="5971DBDD"/>
    <w:multiLevelType w:val="singleLevel"/>
    <w:tmpl w:val="5971DBDD"/>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7407"/>
    <w:rsid w:val="0009475B"/>
    <w:rsid w:val="000B5A03"/>
    <w:rsid w:val="001150B0"/>
    <w:rsid w:val="00152836"/>
    <w:rsid w:val="00172A27"/>
    <w:rsid w:val="0018384D"/>
    <w:rsid w:val="001C77B3"/>
    <w:rsid w:val="002212BF"/>
    <w:rsid w:val="002765E5"/>
    <w:rsid w:val="00286BE6"/>
    <w:rsid w:val="002929B4"/>
    <w:rsid w:val="003B2CA4"/>
    <w:rsid w:val="003C4360"/>
    <w:rsid w:val="00730D2C"/>
    <w:rsid w:val="00856D69"/>
    <w:rsid w:val="00860D89"/>
    <w:rsid w:val="008662EC"/>
    <w:rsid w:val="00866D01"/>
    <w:rsid w:val="009108DE"/>
    <w:rsid w:val="0093140F"/>
    <w:rsid w:val="00A10504"/>
    <w:rsid w:val="00A267C9"/>
    <w:rsid w:val="00AE78EB"/>
    <w:rsid w:val="00B458CF"/>
    <w:rsid w:val="00BB0609"/>
    <w:rsid w:val="00BD7798"/>
    <w:rsid w:val="00C85C7F"/>
    <w:rsid w:val="00CD71F9"/>
    <w:rsid w:val="00D83D89"/>
    <w:rsid w:val="00DA1E61"/>
    <w:rsid w:val="00E3445F"/>
    <w:rsid w:val="00E75356"/>
    <w:rsid w:val="00E9376F"/>
    <w:rsid w:val="00FD515D"/>
    <w:rsid w:val="02B3445D"/>
    <w:rsid w:val="04035AC9"/>
    <w:rsid w:val="04453648"/>
    <w:rsid w:val="05DB00B9"/>
    <w:rsid w:val="092D3A56"/>
    <w:rsid w:val="09BB2134"/>
    <w:rsid w:val="0CA434B9"/>
    <w:rsid w:val="0D746B9D"/>
    <w:rsid w:val="0E4C156E"/>
    <w:rsid w:val="0F095976"/>
    <w:rsid w:val="10BD4691"/>
    <w:rsid w:val="11585E8B"/>
    <w:rsid w:val="149B2247"/>
    <w:rsid w:val="15492582"/>
    <w:rsid w:val="154F4132"/>
    <w:rsid w:val="18AD638D"/>
    <w:rsid w:val="18F44D57"/>
    <w:rsid w:val="1B586BB8"/>
    <w:rsid w:val="1B9537A8"/>
    <w:rsid w:val="1C726186"/>
    <w:rsid w:val="1D304C3C"/>
    <w:rsid w:val="1D415527"/>
    <w:rsid w:val="1E7D3B34"/>
    <w:rsid w:val="20CC24C3"/>
    <w:rsid w:val="22A0509C"/>
    <w:rsid w:val="22A51050"/>
    <w:rsid w:val="232C015A"/>
    <w:rsid w:val="283D43BA"/>
    <w:rsid w:val="29B70F08"/>
    <w:rsid w:val="2BA4769A"/>
    <w:rsid w:val="2CD06EF4"/>
    <w:rsid w:val="2F335194"/>
    <w:rsid w:val="30963758"/>
    <w:rsid w:val="32EF40CE"/>
    <w:rsid w:val="33ED5676"/>
    <w:rsid w:val="3445376B"/>
    <w:rsid w:val="34920D5F"/>
    <w:rsid w:val="35360C08"/>
    <w:rsid w:val="35AB7798"/>
    <w:rsid w:val="372974AC"/>
    <w:rsid w:val="37515EC2"/>
    <w:rsid w:val="378B6D56"/>
    <w:rsid w:val="3949702E"/>
    <w:rsid w:val="3BE408BA"/>
    <w:rsid w:val="3C6570EE"/>
    <w:rsid w:val="3C7F703B"/>
    <w:rsid w:val="3D70189E"/>
    <w:rsid w:val="3DDE7E54"/>
    <w:rsid w:val="3E5B03B3"/>
    <w:rsid w:val="3F1A48B5"/>
    <w:rsid w:val="3FF05256"/>
    <w:rsid w:val="40A67D2B"/>
    <w:rsid w:val="42271DDB"/>
    <w:rsid w:val="436E067F"/>
    <w:rsid w:val="43910C0D"/>
    <w:rsid w:val="48B52937"/>
    <w:rsid w:val="48EE3EF3"/>
    <w:rsid w:val="49FA2F27"/>
    <w:rsid w:val="4C1E2F28"/>
    <w:rsid w:val="4C245DB4"/>
    <w:rsid w:val="4CCF3C57"/>
    <w:rsid w:val="4CFC29CC"/>
    <w:rsid w:val="4D6E1856"/>
    <w:rsid w:val="4FEF13BA"/>
    <w:rsid w:val="502C04C1"/>
    <w:rsid w:val="51DE24AB"/>
    <w:rsid w:val="52420619"/>
    <w:rsid w:val="5651051D"/>
    <w:rsid w:val="56EC004A"/>
    <w:rsid w:val="57E961A8"/>
    <w:rsid w:val="581E77CF"/>
    <w:rsid w:val="58B06254"/>
    <w:rsid w:val="594377CD"/>
    <w:rsid w:val="5AF25131"/>
    <w:rsid w:val="5C3D03A1"/>
    <w:rsid w:val="600176AC"/>
    <w:rsid w:val="609723E6"/>
    <w:rsid w:val="617D5C4B"/>
    <w:rsid w:val="61F9595C"/>
    <w:rsid w:val="646F3B76"/>
    <w:rsid w:val="65332BB8"/>
    <w:rsid w:val="664A46E0"/>
    <w:rsid w:val="66755D81"/>
    <w:rsid w:val="67263A80"/>
    <w:rsid w:val="68A121F7"/>
    <w:rsid w:val="68A9241E"/>
    <w:rsid w:val="6B6D695A"/>
    <w:rsid w:val="6E9B33BB"/>
    <w:rsid w:val="6ED32915"/>
    <w:rsid w:val="6FC86320"/>
    <w:rsid w:val="6FD41D7F"/>
    <w:rsid w:val="700B24A5"/>
    <w:rsid w:val="71FF153A"/>
    <w:rsid w:val="723F1A08"/>
    <w:rsid w:val="72416639"/>
    <w:rsid w:val="738C1FE2"/>
    <w:rsid w:val="73B01085"/>
    <w:rsid w:val="75531EF6"/>
    <w:rsid w:val="75D0003D"/>
    <w:rsid w:val="764F7877"/>
    <w:rsid w:val="76625990"/>
    <w:rsid w:val="77BF4130"/>
    <w:rsid w:val="79D244BB"/>
    <w:rsid w:val="7AA141FF"/>
    <w:rsid w:val="7C2E4564"/>
    <w:rsid w:val="7C445B57"/>
    <w:rsid w:val="7CF23509"/>
    <w:rsid w:val="7D713C10"/>
    <w:rsid w:val="7F2459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hAnsi="Times New Roman" w:eastAsia="仿宋_GB2312" w:cs="仿宋_GB2312"/>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link w:val="14"/>
    <w:qFormat/>
    <w:uiPriority w:val="0"/>
    <w:pPr>
      <w:spacing w:before="240" w:after="60" w:line="600" w:lineRule="exact"/>
      <w:ind w:firstLine="200" w:firstLineChars="200"/>
      <w:jc w:val="center"/>
      <w:outlineLvl w:val="0"/>
    </w:pPr>
    <w:rPr>
      <w:rFonts w:ascii="Cambria" w:hAnsi="Cambria" w:eastAsia="宋体" w:cs="Times New Roman"/>
      <w:b/>
      <w:bCs/>
      <w:sz w:val="32"/>
      <w:szCs w:val="32"/>
    </w:rPr>
  </w:style>
  <w:style w:type="character" w:styleId="7">
    <w:name w:val="Strong"/>
    <w:basedOn w:val="6"/>
    <w:qFormat/>
    <w:uiPriority w:val="0"/>
    <w:rPr>
      <w:b/>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nt31"/>
    <w:basedOn w:val="6"/>
    <w:qFormat/>
    <w:uiPriority w:val="0"/>
    <w:rPr>
      <w:rFonts w:ascii="Arial" w:hAnsi="Arial" w:cs="Arial"/>
      <w:color w:val="000000"/>
      <w:sz w:val="16"/>
      <w:szCs w:val="16"/>
      <w:u w:val="none"/>
    </w:rPr>
  </w:style>
  <w:style w:type="character" w:customStyle="1" w:styleId="11">
    <w:name w:val="font01"/>
    <w:basedOn w:val="6"/>
    <w:qFormat/>
    <w:uiPriority w:val="0"/>
    <w:rPr>
      <w:rFonts w:hint="default" w:ascii="Arial" w:hAnsi="Arial" w:cs="Arial"/>
      <w:color w:val="000000"/>
      <w:sz w:val="16"/>
      <w:szCs w:val="16"/>
      <w:u w:val="none"/>
    </w:rPr>
  </w:style>
  <w:style w:type="character" w:customStyle="1" w:styleId="12">
    <w:name w:val="font41"/>
    <w:basedOn w:val="6"/>
    <w:qFormat/>
    <w:uiPriority w:val="0"/>
    <w:rPr>
      <w:rFonts w:hint="eastAsia" w:ascii="宋体" w:hAnsi="宋体" w:eastAsia="宋体" w:cs="宋体"/>
      <w:color w:val="000000"/>
      <w:sz w:val="16"/>
      <w:szCs w:val="16"/>
      <w:u w:val="none"/>
    </w:rPr>
  </w:style>
  <w:style w:type="paragraph" w:styleId="13">
    <w:name w:val="List Paragraph"/>
    <w:basedOn w:val="1"/>
    <w:unhideWhenUsed/>
    <w:qFormat/>
    <w:uiPriority w:val="99"/>
    <w:pPr>
      <w:ind w:firstLine="420" w:firstLineChars="200"/>
    </w:pPr>
  </w:style>
  <w:style w:type="character" w:customStyle="1" w:styleId="14">
    <w:name w:val="标题 Char"/>
    <w:basedOn w:val="6"/>
    <w:link w:val="5"/>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1805</Words>
  <Characters>10291</Characters>
  <Lines>85</Lines>
  <Paragraphs>24</Paragraphs>
  <TotalTime>1</TotalTime>
  <ScaleCrop>false</ScaleCrop>
  <LinksUpToDate>false</LinksUpToDate>
  <CharactersWithSpaces>12072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2018-11-01T11:30:29Z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