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default" w:ascii="黑体" w:hAnsi="黑体" w:eastAsia="黑体"/>
          <w:sz w:val="48"/>
          <w:lang w:val="en-US" w:eastAsia="zh-CN"/>
        </w:rPr>
      </w:pPr>
      <w:bookmarkStart w:id="0" w:name="_Toc35941165"/>
      <w:bookmarkStart w:id="1" w:name="_Toc35941401"/>
      <w:r>
        <w:rPr>
          <w:rFonts w:hint="eastAsia" w:ascii="黑体" w:hAnsi="黑体" w:eastAsia="黑体"/>
          <w:sz w:val="48"/>
          <w:lang w:val="en-US" w:eastAsia="zh-CN"/>
        </w:rPr>
        <w:t xml:space="preserve">                           </w:t>
      </w:r>
    </w:p>
    <w:p>
      <w:pPr>
        <w:ind w:firstLine="0" w:firstLineChars="0"/>
        <w:rPr>
          <w:rFonts w:ascii="黑体" w:hAnsi="黑体" w:eastAsia="黑体"/>
          <w:sz w:val="48"/>
        </w:rPr>
      </w:pPr>
    </w:p>
    <w:p>
      <w:pPr>
        <w:tabs>
          <w:tab w:val="left" w:pos="3793"/>
          <w:tab w:val="left" w:pos="4888"/>
        </w:tabs>
        <w:ind w:firstLine="0" w:firstLineChars="0"/>
        <w:rPr>
          <w:rFonts w:ascii="黑体" w:hAnsi="黑体" w:eastAsia="黑体"/>
          <w:sz w:val="48"/>
        </w:rPr>
      </w:pPr>
      <w:r>
        <w:rPr>
          <w:rFonts w:ascii="黑体" w:hAnsi="黑体" w:eastAsia="黑体"/>
          <w:sz w:val="48"/>
        </w:rPr>
        <w:tab/>
      </w:r>
      <w:r>
        <w:rPr>
          <w:rFonts w:ascii="黑体" w:hAnsi="黑体" w:eastAsia="黑体"/>
          <w:sz w:val="48"/>
        </w:rPr>
        <w:tab/>
      </w:r>
    </w:p>
    <w:p>
      <w:pPr>
        <w:ind w:firstLine="0" w:firstLineChars="0"/>
        <w:jc w:val="center"/>
        <w:rPr>
          <w:rFonts w:hint="eastAsia" w:ascii="黑体" w:hAnsi="黑体" w:eastAsia="黑体"/>
          <w:sz w:val="56"/>
        </w:rPr>
      </w:pPr>
      <w:r>
        <w:rPr>
          <w:rFonts w:hint="eastAsia" w:ascii="黑体" w:hAnsi="黑体" w:eastAsia="黑体"/>
          <w:sz w:val="56"/>
        </w:rPr>
        <w:t>台前县</w:t>
      </w:r>
      <w:bookmarkEnd w:id="0"/>
      <w:bookmarkEnd w:id="1"/>
      <w:bookmarkStart w:id="2" w:name="_Toc35941166"/>
      <w:bookmarkStart w:id="3" w:name="_Toc35941402"/>
    </w:p>
    <w:p>
      <w:pPr>
        <w:ind w:firstLine="0" w:firstLineChars="0"/>
        <w:jc w:val="center"/>
        <w:rPr>
          <w:rFonts w:ascii="黑体" w:hAnsi="黑体" w:eastAsia="黑体"/>
          <w:sz w:val="56"/>
        </w:rPr>
      </w:pPr>
      <w:r>
        <w:rPr>
          <w:rFonts w:hint="eastAsia" w:ascii="黑体" w:hAnsi="黑体" w:eastAsia="黑体"/>
          <w:sz w:val="56"/>
        </w:rPr>
        <w:t>西凤省级森林公园总体规划</w:t>
      </w:r>
      <w:bookmarkEnd w:id="2"/>
      <w:bookmarkEnd w:id="3"/>
    </w:p>
    <w:p>
      <w:pPr>
        <w:ind w:firstLine="0" w:firstLineChars="0"/>
        <w:jc w:val="center"/>
        <w:rPr>
          <w:rFonts w:hint="eastAsia" w:ascii="黑体" w:hAnsi="黑体" w:eastAsia="黑体"/>
          <w:sz w:val="48"/>
          <w:lang w:eastAsia="zh-CN"/>
        </w:rPr>
      </w:pPr>
      <w:bookmarkStart w:id="4" w:name="_Toc35941403"/>
      <w:bookmarkStart w:id="5" w:name="_Toc35941167"/>
      <w:r>
        <w:rPr>
          <w:rFonts w:hint="eastAsia" w:ascii="黑体" w:hAnsi="黑体" w:eastAsia="黑体"/>
          <w:sz w:val="48"/>
          <w:lang w:eastAsia="zh-CN"/>
        </w:rPr>
        <w:t>（</w:t>
      </w:r>
      <w:r>
        <w:rPr>
          <w:rFonts w:hint="eastAsia" w:ascii="黑体" w:hAnsi="黑体" w:eastAsia="黑体"/>
          <w:sz w:val="48"/>
          <w:lang w:val="en-US" w:eastAsia="zh-CN"/>
        </w:rPr>
        <w:t>2021-2030年</w:t>
      </w:r>
      <w:r>
        <w:rPr>
          <w:rFonts w:hint="eastAsia" w:ascii="黑体" w:hAnsi="黑体" w:eastAsia="黑体"/>
          <w:sz w:val="48"/>
          <w:lang w:eastAsia="zh-CN"/>
        </w:rPr>
        <w:t>）</w:t>
      </w:r>
    </w:p>
    <w:bookmarkEnd w:id="4"/>
    <w:bookmarkEnd w:id="5"/>
    <w:p>
      <w:pPr>
        <w:ind w:firstLine="0" w:firstLineChars="0"/>
        <w:jc w:val="center"/>
        <w:rPr>
          <w:rFonts w:hint="eastAsia" w:ascii="黑体" w:hAnsi="黑体" w:eastAsia="黑体"/>
          <w:sz w:val="72"/>
        </w:rPr>
      </w:pPr>
    </w:p>
    <w:p>
      <w:pPr>
        <w:ind w:firstLine="0" w:firstLineChars="0"/>
        <w:jc w:val="center"/>
        <w:rPr>
          <w:rFonts w:hint="eastAsia" w:ascii="黑体" w:hAnsi="黑体" w:eastAsia="黑体"/>
          <w:sz w:val="72"/>
        </w:rPr>
      </w:pPr>
    </w:p>
    <w:p>
      <w:pPr>
        <w:ind w:firstLine="0" w:firstLineChars="0"/>
        <w:jc w:val="center"/>
        <w:rPr>
          <w:rFonts w:hint="eastAsia" w:ascii="黑体" w:hAnsi="黑体" w:eastAsia="黑体"/>
          <w:sz w:val="72"/>
        </w:rPr>
      </w:pPr>
    </w:p>
    <w:p>
      <w:pPr>
        <w:ind w:firstLine="0" w:firstLineChars="0"/>
        <w:jc w:val="center"/>
        <w:rPr>
          <w:rFonts w:hint="eastAsia" w:ascii="黑体" w:hAnsi="黑体" w:eastAsia="黑体"/>
          <w:sz w:val="72"/>
        </w:rPr>
      </w:pPr>
      <w:bookmarkStart w:id="117" w:name="_GoBack"/>
      <w:bookmarkEnd w:id="117"/>
    </w:p>
    <w:p>
      <w:pPr>
        <w:adjustRightInd/>
        <w:snapToGrid w:val="0"/>
        <w:spacing w:line="540" w:lineRule="exact"/>
        <w:ind w:firstLine="640"/>
        <w:jc w:val="center"/>
        <w:rPr>
          <w:rFonts w:hint="default" w:cs="Times New Roman" w:asciiTheme="minorEastAsia" w:hAnsiTheme="minorEastAsia" w:eastAsiaTheme="minorEastAsia"/>
          <w:color w:val="000000" w:themeColor="text1"/>
          <w:spacing w:val="20"/>
          <w:szCs w:val="32"/>
          <w:lang w:val="en-US" w:eastAsia="zh-CN"/>
          <w14:textFill>
            <w14:solidFill>
              <w14:schemeClr w14:val="tx1"/>
            </w14:solidFill>
          </w14:textFill>
        </w:rPr>
      </w:pPr>
      <w:r>
        <w:rPr>
          <w:rFonts w:hint="eastAsia" w:cs="Times New Roman" w:asciiTheme="minorEastAsia" w:hAnsiTheme="minorEastAsia" w:eastAsiaTheme="minorEastAsia"/>
          <w:color w:val="000000" w:themeColor="text1"/>
          <w:spacing w:val="20"/>
          <w:szCs w:val="32"/>
          <w:lang w:val="en-US" w:eastAsia="zh-CN"/>
          <w14:textFill>
            <w14:solidFill>
              <w14:schemeClr w14:val="tx1"/>
            </w14:solidFill>
          </w14:textFill>
        </w:rPr>
        <w:t>台前县自然资源局</w:t>
      </w:r>
    </w:p>
    <w:p>
      <w:pPr>
        <w:adjustRightInd/>
        <w:snapToGrid w:val="0"/>
        <w:spacing w:line="540" w:lineRule="exact"/>
        <w:ind w:firstLine="640"/>
        <w:jc w:val="center"/>
        <w:rPr>
          <w:rFonts w:hint="eastAsia" w:cs="Times New Roman" w:asciiTheme="minorEastAsia" w:hAnsiTheme="minorEastAsia" w:eastAsiaTheme="minorEastAsia"/>
          <w:color w:val="000000" w:themeColor="text1"/>
          <w:spacing w:val="20"/>
          <w:szCs w:val="32"/>
          <w14:textFill>
            <w14:solidFill>
              <w14:schemeClr w14:val="tx1"/>
            </w14:solidFill>
          </w14:textFill>
        </w:rPr>
      </w:pPr>
      <w:r>
        <w:rPr>
          <w:rFonts w:hint="eastAsia" w:cs="Times New Roman" w:asciiTheme="minorEastAsia" w:hAnsiTheme="minorEastAsia" w:eastAsiaTheme="minorEastAsia"/>
          <w:color w:val="000000" w:themeColor="text1"/>
          <w:spacing w:val="20"/>
          <w:szCs w:val="32"/>
          <w14:textFill>
            <w14:solidFill>
              <w14:schemeClr w14:val="tx1"/>
            </w14:solidFill>
          </w14:textFill>
        </w:rPr>
        <w:t>东华（安徽）生态规划院有限公司</w:t>
      </w:r>
    </w:p>
    <w:p>
      <w:pPr>
        <w:adjustRightInd/>
        <w:snapToGrid w:val="0"/>
        <w:spacing w:line="540" w:lineRule="exact"/>
        <w:ind w:firstLine="640"/>
        <w:jc w:val="center"/>
        <w:rPr>
          <w:rFonts w:hint="eastAsia" w:cs="Times New Roman" w:asciiTheme="minorEastAsia" w:hAnsiTheme="minorEastAsia" w:eastAsiaTheme="minorEastAsia"/>
          <w:color w:val="000000" w:themeColor="text1"/>
          <w:spacing w:val="20"/>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7" w:h="16839"/>
          <w:pgMar w:top="1440" w:right="1797" w:bottom="1440" w:left="1797" w:header="851" w:footer="992" w:gutter="0"/>
          <w:pgNumType w:fmt="numberInDash"/>
          <w:cols w:space="425" w:num="1"/>
          <w:titlePg/>
          <w:docGrid w:type="lines" w:linePitch="312" w:charSpace="0"/>
        </w:sectPr>
      </w:pPr>
      <w:bookmarkStart w:id="6" w:name="OLE_LINK2"/>
      <w:r>
        <w:rPr>
          <w:rFonts w:hint="eastAsia" w:cs="Times New Roman" w:asciiTheme="minorEastAsia" w:hAnsiTheme="minorEastAsia" w:eastAsiaTheme="minorEastAsia"/>
          <w:color w:val="000000" w:themeColor="text1"/>
          <w:spacing w:val="20"/>
          <w:szCs w:val="32"/>
          <w14:textFill>
            <w14:solidFill>
              <w14:schemeClr w14:val="tx1"/>
            </w14:solidFill>
          </w14:textFill>
        </w:rPr>
        <w:t>二〇二一年</w:t>
      </w:r>
      <w:bookmarkEnd w:id="6"/>
      <w:r>
        <w:rPr>
          <w:rFonts w:hint="eastAsia" w:cs="Times New Roman" w:asciiTheme="minorEastAsia" w:hAnsiTheme="minorEastAsia" w:eastAsiaTheme="minorEastAsia"/>
          <w:color w:val="000000" w:themeColor="text1"/>
          <w:spacing w:val="20"/>
          <w:szCs w:val="32"/>
          <w:lang w:val="en-US" w:eastAsia="zh-CN"/>
          <w14:textFill>
            <w14:solidFill>
              <w14:schemeClr w14:val="tx1"/>
            </w14:solidFill>
          </w14:textFill>
        </w:rPr>
        <w:t>六</w:t>
      </w:r>
      <w:r>
        <w:rPr>
          <w:rFonts w:hint="eastAsia" w:cs="Times New Roman" w:asciiTheme="minorEastAsia" w:hAnsiTheme="minorEastAsia" w:eastAsiaTheme="minorEastAsia"/>
          <w:color w:val="000000" w:themeColor="text1"/>
          <w:spacing w:val="20"/>
          <w:szCs w:val="32"/>
          <w14:textFill>
            <w14:solidFill>
              <w14:schemeClr w14:val="tx1"/>
            </w14:solidFill>
          </w14:textFill>
        </w:rPr>
        <w:t>月</w:t>
      </w:r>
    </w:p>
    <w:p>
      <w:pPr>
        <w:spacing w:line="700" w:lineRule="exact"/>
        <w:jc w:val="left"/>
        <w:rPr>
          <w:rFonts w:hint="eastAsia" w:ascii="宋体" w:hAnsi="宋体" w:eastAsia="宋体" w:cs="宋体"/>
          <w:b w:val="0"/>
          <w:bCs/>
          <w:color w:val="000000" w:themeColor="text1"/>
          <w:sz w:val="32"/>
          <w:lang w:val="en-US" w:eastAsia="zh-CN"/>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项目名称：</w:t>
      </w:r>
      <w:r>
        <w:rPr>
          <w:rFonts w:hint="eastAsia" w:ascii="宋体" w:hAnsi="宋体" w:eastAsia="宋体" w:cs="宋体"/>
          <w:b w:val="0"/>
          <w:bCs/>
          <w:color w:val="000000" w:themeColor="text1"/>
          <w:sz w:val="32"/>
          <w14:textFill>
            <w14:solidFill>
              <w14:schemeClr w14:val="tx1"/>
            </w14:solidFill>
          </w14:textFill>
        </w:rPr>
        <w:t>台前县西凤省级森林公园总体规</w:t>
      </w:r>
      <w:r>
        <w:rPr>
          <w:rFonts w:hint="eastAsia" w:ascii="宋体" w:hAnsi="宋体" w:eastAsia="宋体" w:cs="宋体"/>
          <w:b w:val="0"/>
          <w:bCs/>
          <w:color w:val="000000" w:themeColor="text1"/>
          <w:sz w:val="32"/>
          <w:lang w:val="en-US" w:eastAsia="zh-CN"/>
          <w14:textFill>
            <w14:solidFill>
              <w14:schemeClr w14:val="tx1"/>
            </w14:solidFill>
          </w14:textFill>
        </w:rPr>
        <w:t>划</w:t>
      </w:r>
    </w:p>
    <w:p>
      <w:pPr>
        <w:spacing w:line="700" w:lineRule="exact"/>
        <w:ind w:firstLine="2240" w:firstLineChars="700"/>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val="0"/>
          <w:bCs/>
          <w:color w:val="000000" w:themeColor="text1"/>
          <w:sz w:val="32"/>
          <w14:textFill>
            <w14:solidFill>
              <w14:schemeClr w14:val="tx1"/>
            </w14:solidFill>
          </w14:textFill>
        </w:rPr>
        <w:t>（20</w:t>
      </w:r>
      <w:r>
        <w:rPr>
          <w:rFonts w:hint="eastAsia" w:ascii="宋体" w:hAnsi="宋体" w:eastAsia="宋体" w:cs="宋体"/>
          <w:b w:val="0"/>
          <w:bCs/>
          <w:color w:val="000000" w:themeColor="text1"/>
          <w:sz w:val="32"/>
          <w:lang w:val="en-US" w:eastAsia="zh-CN"/>
          <w14:textFill>
            <w14:solidFill>
              <w14:schemeClr w14:val="tx1"/>
            </w14:solidFill>
          </w14:textFill>
        </w:rPr>
        <w:t>21</w:t>
      </w:r>
      <w:r>
        <w:rPr>
          <w:rFonts w:hint="eastAsia" w:ascii="宋体" w:hAnsi="宋体" w:eastAsia="宋体" w:cs="宋体"/>
          <w:b w:val="0"/>
          <w:bCs/>
          <w:color w:val="000000" w:themeColor="text1"/>
          <w:sz w:val="32"/>
          <w14:textFill>
            <w14:solidFill>
              <w14:schemeClr w14:val="tx1"/>
            </w14:solidFill>
          </w14:textFill>
        </w:rPr>
        <w:t>-20</w:t>
      </w:r>
      <w:r>
        <w:rPr>
          <w:rFonts w:hint="eastAsia" w:ascii="宋体" w:hAnsi="宋体" w:eastAsia="宋体" w:cs="宋体"/>
          <w:b w:val="0"/>
          <w:bCs/>
          <w:color w:val="000000" w:themeColor="text1"/>
          <w:sz w:val="32"/>
          <w:lang w:val="en-US" w:eastAsia="zh-CN"/>
          <w14:textFill>
            <w14:solidFill>
              <w14:schemeClr w14:val="tx1"/>
            </w14:solidFill>
          </w14:textFill>
        </w:rPr>
        <w:t>3</w:t>
      </w:r>
      <w:r>
        <w:rPr>
          <w:rFonts w:hint="eastAsia" w:ascii="宋体" w:hAnsi="宋体" w:eastAsia="宋体" w:cs="宋体"/>
          <w:b w:val="0"/>
          <w:bCs/>
          <w:color w:val="000000" w:themeColor="text1"/>
          <w:sz w:val="32"/>
          <w14:textFill>
            <w14:solidFill>
              <w14:schemeClr w14:val="tx1"/>
            </w14:solidFill>
          </w14:textFill>
        </w:rPr>
        <w:t>0年）</w:t>
      </w:r>
    </w:p>
    <w:p>
      <w:pPr>
        <w:spacing w:line="700" w:lineRule="exact"/>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lang w:val="en-US" w:eastAsia="zh-CN"/>
          <w14:textFill>
            <w14:solidFill>
              <w14:schemeClr w14:val="tx1"/>
            </w14:solidFill>
          </w14:textFill>
        </w:rPr>
        <w:t>规划</w:t>
      </w:r>
      <w:r>
        <w:rPr>
          <w:rFonts w:hint="eastAsia" w:ascii="宋体" w:hAnsi="宋体" w:eastAsia="宋体" w:cs="宋体"/>
          <w:b/>
          <w:color w:val="000000" w:themeColor="text1"/>
          <w:sz w:val="32"/>
          <w14:textFill>
            <w14:solidFill>
              <w14:schemeClr w14:val="tx1"/>
            </w14:solidFill>
          </w14:textFill>
        </w:rPr>
        <w:t>单位：</w:t>
      </w:r>
      <w:r>
        <w:rPr>
          <w:rFonts w:hint="eastAsia" w:ascii="宋体" w:hAnsi="宋体" w:eastAsia="宋体" w:cs="宋体"/>
          <w:b w:val="0"/>
          <w:bCs/>
          <w:color w:val="000000" w:themeColor="text1"/>
          <w:sz w:val="32"/>
          <w14:textFill>
            <w14:solidFill>
              <w14:schemeClr w14:val="tx1"/>
            </w14:solidFill>
          </w14:textFill>
        </w:rPr>
        <w:t>东华（安徽）生态规划院有限公司</w:t>
      </w:r>
    </w:p>
    <w:p>
      <w:pPr>
        <w:spacing w:line="700" w:lineRule="exact"/>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资质等级：</w:t>
      </w:r>
      <w:r>
        <w:rPr>
          <w:rFonts w:hint="eastAsia" w:ascii="宋体" w:hAnsi="宋体" w:eastAsia="宋体" w:cs="宋体"/>
          <w:b w:val="0"/>
          <w:bCs/>
          <w:color w:val="000000" w:themeColor="text1"/>
          <w:sz w:val="32"/>
          <w14:textFill>
            <w14:solidFill>
              <w14:schemeClr w14:val="tx1"/>
            </w14:solidFill>
          </w14:textFill>
        </w:rPr>
        <w:t>乙 级</w:t>
      </w:r>
    </w:p>
    <w:p>
      <w:pPr>
        <w:spacing w:line="700" w:lineRule="exact"/>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证书编号：</w:t>
      </w:r>
      <w:r>
        <w:rPr>
          <w:rFonts w:hint="eastAsia" w:ascii="宋体" w:hAnsi="宋体" w:eastAsia="宋体" w:cs="宋体"/>
          <w:b w:val="0"/>
          <w:bCs/>
          <w:color w:val="000000" w:themeColor="text1"/>
          <w:sz w:val="32"/>
          <w14:textFill>
            <w14:solidFill>
              <w14:schemeClr w14:val="tx1"/>
            </w14:solidFill>
          </w14:textFill>
        </w:rPr>
        <w:t>乙12-028号</w:t>
      </w:r>
    </w:p>
    <w:p>
      <w:pPr>
        <w:spacing w:line="700" w:lineRule="exact"/>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发证机关：</w:t>
      </w:r>
      <w:r>
        <w:rPr>
          <w:rFonts w:hint="eastAsia" w:ascii="宋体" w:hAnsi="宋体" w:eastAsia="宋体" w:cs="宋体"/>
          <w:b w:val="0"/>
          <w:bCs/>
          <w:color w:val="000000" w:themeColor="text1"/>
          <w:sz w:val="32"/>
          <w14:textFill>
            <w14:solidFill>
              <w14:schemeClr w14:val="tx1"/>
            </w14:solidFill>
          </w14:textFill>
        </w:rPr>
        <w:t>中国林业工程建设协会</w:t>
      </w:r>
    </w:p>
    <w:p>
      <w:pPr>
        <w:spacing w:line="700" w:lineRule="exact"/>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lang w:eastAsia="zh-CN"/>
          <w14:textFill>
            <w14:solidFill>
              <w14:schemeClr w14:val="tx1"/>
            </w14:solidFill>
          </w14:textFill>
        </w:rPr>
        <w:t>法定代表人</w:t>
      </w:r>
      <w:r>
        <w:rPr>
          <w:rFonts w:hint="eastAsia" w:ascii="宋体" w:hAnsi="宋体" w:eastAsia="宋体" w:cs="宋体"/>
          <w:b/>
          <w:color w:val="000000" w:themeColor="text1"/>
          <w:sz w:val="32"/>
          <w14:textFill>
            <w14:solidFill>
              <w14:schemeClr w14:val="tx1"/>
            </w14:solidFill>
          </w14:textFill>
        </w:rPr>
        <w:t>：</w:t>
      </w:r>
      <w:r>
        <w:rPr>
          <w:rFonts w:hint="eastAsia" w:ascii="宋体" w:hAnsi="宋体" w:eastAsia="宋体" w:cs="宋体"/>
          <w:b w:val="0"/>
          <w:bCs/>
          <w:color w:val="000000" w:themeColor="text1"/>
          <w:sz w:val="32"/>
          <w14:textFill>
            <w14:solidFill>
              <w14:schemeClr w14:val="tx1"/>
            </w14:solidFill>
          </w14:textFill>
        </w:rPr>
        <w:t>陈一佐</w:t>
      </w:r>
    </w:p>
    <w:p>
      <w:pPr>
        <w:spacing w:line="700" w:lineRule="exact"/>
        <w:jc w:val="left"/>
        <w:rPr>
          <w:rFonts w:hint="eastAsia" w:ascii="宋体" w:hAnsi="宋体" w:eastAsia="宋体" w:cs="宋体"/>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项目负责人：</w:t>
      </w:r>
      <w:r>
        <w:rPr>
          <w:rFonts w:hint="eastAsia" w:ascii="宋体" w:hAnsi="宋体" w:eastAsia="宋体" w:cs="宋体"/>
          <w:color w:val="000000" w:themeColor="text1"/>
          <w:sz w:val="32"/>
          <w14:textFill>
            <w14:solidFill>
              <w14:schemeClr w14:val="tx1"/>
            </w14:solidFill>
          </w14:textFill>
        </w:rPr>
        <w:t xml:space="preserve">苗璇璐 </w:t>
      </w:r>
    </w:p>
    <w:p>
      <w:pPr>
        <w:spacing w:line="700" w:lineRule="exact"/>
        <w:ind w:firstLine="643"/>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项目主要参加人员：</w:t>
      </w:r>
    </w:p>
    <w:p>
      <w:pPr>
        <w:spacing w:line="700" w:lineRule="exact"/>
        <w:ind w:firstLine="643"/>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东华（安徽）生态规划院有限公司：</w:t>
      </w:r>
    </w:p>
    <w:p>
      <w:pPr>
        <w:spacing w:line="700" w:lineRule="exact"/>
        <w:ind w:firstLine="640"/>
        <w:jc w:val="left"/>
        <w:rPr>
          <w:rFonts w:hint="default" w:ascii="宋体" w:hAnsi="宋体" w:eastAsia="宋体" w:cs="宋体"/>
          <w:color w:val="000000" w:themeColor="text1"/>
          <w:sz w:val="32"/>
          <w:lang w:val="en-US" w:eastAsia="zh-CN"/>
          <w14:textFill>
            <w14:solidFill>
              <w14:schemeClr w14:val="tx1"/>
            </w14:solidFill>
          </w14:textFill>
        </w:rPr>
      </w:pPr>
      <w:r>
        <w:rPr>
          <w:rFonts w:hint="eastAsia" w:ascii="宋体" w:hAnsi="宋体" w:eastAsia="宋体" w:cs="宋体"/>
          <w:color w:val="000000" w:themeColor="text1"/>
          <w:sz w:val="32"/>
          <w:lang w:val="en-US" w:eastAsia="zh-CN"/>
          <w14:textFill>
            <w14:solidFill>
              <w14:schemeClr w14:val="tx1"/>
            </w14:solidFill>
          </w14:textFill>
        </w:rPr>
        <w:t xml:space="preserve">尤罗利  刘玮  夏哲然 </w:t>
      </w:r>
    </w:p>
    <w:p>
      <w:pPr>
        <w:spacing w:line="700" w:lineRule="exact"/>
        <w:ind w:firstLine="643"/>
        <w:jc w:val="left"/>
        <w:rPr>
          <w:rFonts w:hint="eastAsia" w:ascii="宋体" w:hAnsi="宋体" w:eastAsia="宋体" w:cs="宋体"/>
          <w:b/>
          <w:color w:val="000000" w:themeColor="text1"/>
          <w:sz w:val="32"/>
          <w14:textFill>
            <w14:solidFill>
              <w14:schemeClr w14:val="tx1"/>
            </w14:solidFill>
          </w14:textFill>
        </w:rPr>
      </w:pPr>
      <w:r>
        <w:rPr>
          <w:rFonts w:hint="eastAsia" w:ascii="宋体" w:hAnsi="宋体" w:eastAsia="宋体" w:cs="宋体"/>
          <w:b/>
          <w:color w:val="000000" w:themeColor="text1"/>
          <w:sz w:val="32"/>
          <w:lang w:val="en-US" w:eastAsia="zh-CN"/>
          <w14:textFill>
            <w14:solidFill>
              <w14:schemeClr w14:val="tx1"/>
            </w14:solidFill>
          </w14:textFill>
        </w:rPr>
        <w:t>台前县自然资源</w:t>
      </w:r>
      <w:r>
        <w:rPr>
          <w:rFonts w:hint="eastAsia" w:ascii="宋体" w:hAnsi="宋体" w:eastAsia="宋体" w:cs="宋体"/>
          <w:b/>
          <w:color w:val="000000" w:themeColor="text1"/>
          <w:sz w:val="32"/>
          <w14:textFill>
            <w14:solidFill>
              <w14:schemeClr w14:val="tx1"/>
            </w14:solidFill>
          </w14:textFill>
        </w:rPr>
        <w:t>局：</w:t>
      </w:r>
    </w:p>
    <w:p>
      <w:pPr>
        <w:spacing w:line="700" w:lineRule="exact"/>
        <w:ind w:firstLine="640"/>
        <w:jc w:val="left"/>
        <w:rPr>
          <w:rFonts w:hint="default" w:ascii="宋体" w:hAnsi="宋体" w:eastAsia="宋体" w:cs="宋体"/>
          <w:color w:val="000000" w:themeColor="text1"/>
          <w:sz w:val="32"/>
          <w:lang w:val="en-US" w:eastAsia="zh-CN"/>
          <w14:textFill>
            <w14:solidFill>
              <w14:schemeClr w14:val="tx1"/>
            </w14:solidFill>
          </w14:textFill>
        </w:rPr>
      </w:pPr>
      <w:r>
        <w:rPr>
          <w:rFonts w:hint="eastAsia" w:ascii="宋体" w:hAnsi="宋体" w:eastAsia="宋体" w:cs="宋体"/>
          <w:color w:val="000000" w:themeColor="text1"/>
          <w:sz w:val="32"/>
          <w:lang w:val="en-US" w:eastAsia="zh-CN"/>
          <w14:textFill>
            <w14:solidFill>
              <w14:schemeClr w14:val="tx1"/>
            </w14:solidFill>
          </w14:textFill>
        </w:rPr>
        <w:t>张安国   王希伟  王童  韩兆峰  乔向楠</w:t>
      </w:r>
    </w:p>
    <w:p>
      <w:pPr>
        <w:spacing w:line="700" w:lineRule="exact"/>
        <w:ind w:firstLine="643"/>
        <w:jc w:val="left"/>
        <w:rPr>
          <w:rFonts w:hint="eastAsia" w:ascii="宋体" w:hAnsi="宋体" w:eastAsia="宋体" w:cs="宋体"/>
          <w:b/>
          <w:color w:val="000000" w:themeColor="text1"/>
          <w:sz w:val="32"/>
          <w:lang w:eastAsia="zh-CN"/>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河南省退耕还林和天然林保护工程管理中心</w:t>
      </w:r>
      <w:r>
        <w:rPr>
          <w:rFonts w:hint="eastAsia" w:ascii="宋体" w:hAnsi="宋体" w:eastAsia="宋体" w:cs="宋体"/>
          <w:b/>
          <w:color w:val="000000" w:themeColor="text1"/>
          <w:sz w:val="32"/>
          <w:lang w:eastAsia="zh-CN"/>
          <w14:textFill>
            <w14:solidFill>
              <w14:schemeClr w14:val="tx1"/>
            </w14:solidFill>
          </w14:textFill>
        </w:rPr>
        <w:t>：</w:t>
      </w:r>
    </w:p>
    <w:p>
      <w:pPr>
        <w:spacing w:line="700" w:lineRule="exact"/>
        <w:ind w:firstLine="640"/>
        <w:jc w:val="left"/>
        <w:rPr>
          <w:rFonts w:hint="eastAsia" w:ascii="宋体" w:hAnsi="宋体" w:eastAsia="宋体" w:cs="宋体"/>
          <w:color w:val="000000" w:themeColor="text1"/>
          <w:sz w:val="32"/>
          <w:lang w:val="en-US" w:eastAsia="zh-CN"/>
          <w14:textFill>
            <w14:solidFill>
              <w14:schemeClr w14:val="tx1"/>
            </w14:solidFill>
          </w14:textFill>
        </w:rPr>
      </w:pPr>
      <w:r>
        <w:rPr>
          <w:rFonts w:hint="eastAsia" w:ascii="宋体" w:hAnsi="宋体" w:eastAsia="宋体" w:cs="宋体"/>
          <w:color w:val="000000" w:themeColor="text1"/>
          <w:sz w:val="32"/>
          <w:lang w:val="en-US" w:eastAsia="zh-CN"/>
          <w14:textFill>
            <w14:solidFill>
              <w14:schemeClr w14:val="tx1"/>
            </w14:solidFill>
          </w14:textFill>
        </w:rPr>
        <w:t>刘亚丽  工程师</w:t>
      </w:r>
    </w:p>
    <w:p>
      <w:pPr>
        <w:spacing w:line="700" w:lineRule="exact"/>
        <w:ind w:firstLine="640"/>
        <w:jc w:val="left"/>
        <w:rPr>
          <w:rFonts w:hint="eastAsia" w:ascii="宋体" w:hAnsi="宋体" w:eastAsia="宋体" w:cs="宋体"/>
          <w:bCs/>
          <w:color w:val="000000" w:themeColor="text1"/>
          <w:sz w:val="32"/>
          <w:szCs w:val="32"/>
          <w14:textFill>
            <w14:solidFill>
              <w14:schemeClr w14:val="tx1"/>
            </w14:solidFill>
          </w14:textFill>
        </w:rPr>
      </w:pPr>
    </w:p>
    <w:p>
      <w:pPr>
        <w:spacing w:line="540" w:lineRule="auto"/>
        <w:ind w:firstLine="643"/>
        <w:rPr>
          <w:rFonts w:hint="eastAsia" w:ascii="宋体" w:hAnsi="宋体" w:eastAsia="宋体" w:cs="宋体"/>
          <w:b w:val="0"/>
          <w:bCs/>
          <w:color w:val="000000" w:themeColor="text1"/>
          <w:sz w:val="32"/>
          <w14:textFill>
            <w14:solidFill>
              <w14:schemeClr w14:val="tx1"/>
            </w14:solidFill>
          </w14:textFill>
        </w:rPr>
      </w:pPr>
      <w:r>
        <w:rPr>
          <w:rFonts w:hint="eastAsia" w:ascii="宋体" w:hAnsi="宋体" w:eastAsia="宋体" w:cs="宋体"/>
          <w:b/>
          <w:color w:val="000000" w:themeColor="text1"/>
          <w:sz w:val="32"/>
          <w14:textFill>
            <w14:solidFill>
              <w14:schemeClr w14:val="tx1"/>
            </w14:solidFill>
          </w14:textFill>
        </w:rPr>
        <w:t>成果审核人：</w:t>
      </w:r>
      <w:r>
        <w:rPr>
          <w:rFonts w:hint="eastAsia" w:ascii="宋体" w:hAnsi="宋体" w:eastAsia="宋体" w:cs="宋体"/>
          <w:b w:val="0"/>
          <w:bCs/>
          <w:color w:val="000000" w:themeColor="text1"/>
          <w:sz w:val="32"/>
          <w:lang w:val="en-US" w:eastAsia="zh-CN"/>
          <w14:textFill>
            <w14:solidFill>
              <w14:schemeClr w14:val="tx1"/>
            </w14:solidFill>
          </w14:textFill>
        </w:rPr>
        <w:t>汪树生（正高级工程师）</w:t>
      </w:r>
      <w:r>
        <w:rPr>
          <w:rFonts w:hint="eastAsia" w:ascii="宋体" w:hAnsi="宋体" w:eastAsia="宋体" w:cs="宋体"/>
          <w:b w:val="0"/>
          <w:bCs/>
          <w:color w:val="000000" w:themeColor="text1"/>
          <w:sz w:val="32"/>
          <w14:textFill>
            <w14:solidFill>
              <w14:schemeClr w14:val="tx1"/>
            </w14:solidFill>
          </w14:textFill>
        </w:rPr>
        <w:t xml:space="preserve"> </w:t>
      </w:r>
    </w:p>
    <w:p>
      <w:pPr>
        <w:spacing w:line="540" w:lineRule="auto"/>
        <w:ind w:firstLine="640"/>
        <w:rPr>
          <w:rFonts w:hint="eastAsia" w:ascii="宋体" w:hAnsi="宋体" w:eastAsia="宋体" w:cs="宋体"/>
          <w:color w:val="000000" w:themeColor="text1"/>
          <w:sz w:val="32"/>
          <w14:textFill>
            <w14:solidFill>
              <w14:schemeClr w14:val="tx1"/>
            </w14:solidFill>
          </w14:textFill>
        </w:rPr>
        <w:sectPr>
          <w:pgSz w:w="11907" w:h="16839"/>
          <w:pgMar w:top="1440" w:right="1797" w:bottom="1440" w:left="1797" w:header="851" w:footer="992" w:gutter="0"/>
          <w:pgNumType w:fmt="numberInDash"/>
          <w:cols w:space="425" w:num="1"/>
          <w:titlePg/>
          <w:docGrid w:type="lines" w:linePitch="312" w:charSpace="0"/>
        </w:sectPr>
      </w:pPr>
    </w:p>
    <w:sdt>
      <w:sdtPr>
        <w:rPr>
          <w:rStyle w:val="17"/>
          <w:rFonts w:eastAsia="宋体" w:cs="Times New Roman"/>
          <w:b/>
          <w:bCs/>
          <w:caps/>
          <w:color w:val="auto"/>
          <w:sz w:val="36"/>
          <w:szCs w:val="36"/>
          <w:u w:val="none"/>
        </w:rPr>
        <w:id w:val="142853213"/>
        <w:docPartObj>
          <w:docPartGallery w:val="Table of Contents"/>
          <w:docPartUnique/>
        </w:docPartObj>
      </w:sdtPr>
      <w:sdtEndPr>
        <w:rPr>
          <w:rStyle w:val="17"/>
          <w:rFonts w:hint="default" w:eastAsia="仿宋" w:cs="Times New Roman"/>
          <w:b/>
          <w:bCs/>
          <w:caps/>
          <w:color w:val="auto"/>
          <w:kern w:val="2"/>
          <w:sz w:val="28"/>
          <w:szCs w:val="36"/>
          <w:u w:val="none"/>
          <w:lang w:val="en-US"/>
        </w:rPr>
      </w:sdtEndPr>
      <w:sdtContent>
        <w:p>
          <w:pPr>
            <w:widowControl/>
            <w:adjustRightInd/>
            <w:snapToGrid/>
            <w:spacing w:before="120" w:beforeLines="50" w:after="120" w:afterLines="50" w:line="360" w:lineRule="auto"/>
            <w:ind w:right="357" w:firstLine="0" w:firstLineChars="0"/>
            <w:jc w:val="center"/>
            <w:rPr>
              <w:rStyle w:val="17"/>
              <w:rFonts w:eastAsia="宋体" w:cs="Times New Roman"/>
              <w:b/>
              <w:bCs/>
              <w:caps/>
              <w:color w:val="auto"/>
              <w:sz w:val="36"/>
              <w:szCs w:val="36"/>
              <w:u w:val="none"/>
            </w:rPr>
          </w:pPr>
          <w:bookmarkStart w:id="7" w:name="_Toc22169"/>
          <w:bookmarkStart w:id="8" w:name="_Toc35941558"/>
          <w:bookmarkStart w:id="9" w:name="_Toc35941510"/>
          <w:bookmarkStart w:id="10" w:name="_Toc26000"/>
          <w:bookmarkStart w:id="11" w:name="_Toc36737602"/>
          <w:bookmarkStart w:id="12" w:name="_Toc35941404"/>
          <w:r>
            <w:rPr>
              <w:rStyle w:val="17"/>
              <w:rFonts w:eastAsia="宋体" w:cs="Times New Roman"/>
              <w:b/>
              <w:bCs/>
              <w:caps/>
              <w:color w:val="auto"/>
              <w:sz w:val="36"/>
              <w:szCs w:val="36"/>
              <w:u w:val="none"/>
            </w:rPr>
            <w:t>目</w:t>
          </w:r>
          <w:r>
            <w:rPr>
              <w:rStyle w:val="17"/>
              <w:rFonts w:hint="eastAsia" w:eastAsia="宋体" w:cs="Times New Roman"/>
              <w:b/>
              <w:bCs/>
              <w:caps/>
              <w:color w:val="auto"/>
              <w:sz w:val="36"/>
              <w:szCs w:val="36"/>
              <w:u w:val="none"/>
            </w:rPr>
            <w:t xml:space="preserve"> </w:t>
          </w:r>
          <w:r>
            <w:rPr>
              <w:rStyle w:val="17"/>
              <w:rFonts w:eastAsia="宋体" w:cs="Times New Roman"/>
              <w:b/>
              <w:bCs/>
              <w:caps/>
              <w:color w:val="auto"/>
              <w:sz w:val="36"/>
              <w:szCs w:val="36"/>
              <w:u w:val="none"/>
            </w:rPr>
            <w:t xml:space="preserve"> 录</w:t>
          </w:r>
          <w:bookmarkEnd w:id="7"/>
          <w:bookmarkEnd w:id="8"/>
          <w:bookmarkEnd w:id="9"/>
          <w:bookmarkEnd w:id="10"/>
          <w:bookmarkEnd w:id="11"/>
          <w:bookmarkEnd w:id="12"/>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b/>
              <w:bCs/>
              <w:lang w:val="zh-CN"/>
            </w:rPr>
            <w:fldChar w:fldCharType="begin"/>
          </w:r>
          <w:r>
            <w:rPr>
              <w:b/>
              <w:bCs/>
              <w:lang w:val="zh-CN"/>
            </w:rPr>
            <w:instrText xml:space="preserve"> TOC \o "1-2" \h \z \u </w:instrText>
          </w:r>
          <w:r>
            <w:rPr>
              <w:b/>
              <w:bCs/>
              <w:lang w:val="zh-CN"/>
            </w:rPr>
            <w:fldChar w:fldCharType="separate"/>
          </w:r>
          <w:r>
            <w:rPr>
              <w:rFonts w:eastAsia="宋体"/>
              <w:b/>
              <w:bCs/>
              <w:sz w:val="24"/>
              <w:lang w:val="zh-CN"/>
            </w:rPr>
            <w:fldChar w:fldCharType="begin"/>
          </w:r>
          <w:r>
            <w:rPr>
              <w:rFonts w:eastAsia="宋体"/>
              <w:b/>
              <w:bCs/>
              <w:sz w:val="24"/>
              <w:lang w:val="zh-CN"/>
            </w:rPr>
            <w:instrText xml:space="preserve"> HYPERLINK \l _Toc13059 </w:instrText>
          </w:r>
          <w:r>
            <w:rPr>
              <w:rFonts w:eastAsia="宋体"/>
              <w:b/>
              <w:bCs/>
              <w:sz w:val="24"/>
              <w:lang w:val="zh-CN"/>
            </w:rPr>
            <w:fldChar w:fldCharType="separate"/>
          </w:r>
          <w:r>
            <w:rPr>
              <w:rFonts w:hint="eastAsia" w:eastAsia="宋体" w:cs="Times New Roman"/>
              <w:b/>
              <w:bCs/>
              <w:sz w:val="24"/>
              <w:szCs w:val="44"/>
            </w:rPr>
            <w:t>前  言</w:t>
          </w:r>
          <w:r>
            <w:rPr>
              <w:rFonts w:eastAsia="宋体"/>
              <w:b/>
              <w:sz w:val="24"/>
            </w:rPr>
            <w:tab/>
          </w:r>
          <w:r>
            <w:rPr>
              <w:rFonts w:eastAsia="宋体"/>
              <w:b/>
              <w:sz w:val="24"/>
            </w:rPr>
            <w:fldChar w:fldCharType="begin"/>
          </w:r>
          <w:r>
            <w:rPr>
              <w:rFonts w:eastAsia="宋体"/>
              <w:b/>
              <w:sz w:val="24"/>
            </w:rPr>
            <w:instrText xml:space="preserve"> PAGEREF _Toc13059 \h </w:instrText>
          </w:r>
          <w:r>
            <w:rPr>
              <w:rFonts w:eastAsia="宋体"/>
              <w:b/>
              <w:sz w:val="24"/>
            </w:rPr>
            <w:fldChar w:fldCharType="separate"/>
          </w:r>
          <w:r>
            <w:rPr>
              <w:rFonts w:eastAsia="宋体"/>
              <w:b/>
              <w:sz w:val="24"/>
            </w:rPr>
            <w:t>- 1 -</w:t>
          </w:r>
          <w:r>
            <w:rPr>
              <w:rFonts w:eastAsia="宋体"/>
              <w:b/>
              <w:sz w:val="24"/>
            </w:rPr>
            <w:fldChar w:fldCharType="end"/>
          </w:r>
          <w:r>
            <w:rPr>
              <w:rFonts w:eastAsia="宋体"/>
              <w:b/>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_Toc20413 </w:instrText>
          </w:r>
          <w:r>
            <w:rPr>
              <w:rFonts w:eastAsia="宋体"/>
              <w:b/>
              <w:bCs/>
              <w:sz w:val="24"/>
              <w:lang w:val="zh-CN"/>
            </w:rPr>
            <w:fldChar w:fldCharType="separate"/>
          </w:r>
          <w:r>
            <w:rPr>
              <w:rFonts w:hint="eastAsia" w:eastAsia="宋体" w:cs="Times New Roman"/>
              <w:b/>
              <w:bCs w:val="0"/>
              <w:iCs/>
              <w:kern w:val="44"/>
              <w:sz w:val="24"/>
              <w:szCs w:val="44"/>
            </w:rPr>
            <w:t>第一章 基本情况</w:t>
          </w:r>
          <w:r>
            <w:rPr>
              <w:rFonts w:eastAsia="宋体"/>
              <w:b/>
              <w:sz w:val="24"/>
            </w:rPr>
            <w:tab/>
          </w:r>
          <w:r>
            <w:rPr>
              <w:rFonts w:eastAsia="宋体"/>
              <w:b/>
              <w:sz w:val="24"/>
            </w:rPr>
            <w:fldChar w:fldCharType="begin"/>
          </w:r>
          <w:r>
            <w:rPr>
              <w:rFonts w:eastAsia="宋体"/>
              <w:b/>
              <w:sz w:val="24"/>
            </w:rPr>
            <w:instrText xml:space="preserve"> PAGEREF _Toc20413 \h </w:instrText>
          </w:r>
          <w:r>
            <w:rPr>
              <w:rFonts w:eastAsia="宋体"/>
              <w:b/>
              <w:sz w:val="24"/>
            </w:rPr>
            <w:fldChar w:fldCharType="separate"/>
          </w:r>
          <w:r>
            <w:rPr>
              <w:rFonts w:eastAsia="宋体"/>
              <w:b/>
              <w:sz w:val="24"/>
            </w:rPr>
            <w:t>- 3 -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_Toc26781 </w:instrText>
          </w:r>
          <w:r>
            <w:rPr>
              <w:rFonts w:eastAsia="宋体"/>
              <w:bCs/>
              <w:sz w:val="24"/>
              <w:lang w:val="zh-CN"/>
            </w:rPr>
            <w:fldChar w:fldCharType="separate"/>
          </w:r>
          <w:r>
            <w:rPr>
              <w:rFonts w:hint="eastAsia" w:eastAsia="宋体"/>
              <w:sz w:val="24"/>
            </w:rPr>
            <w:t>第一节 地理位置、面积及权属</w:t>
          </w:r>
          <w:r>
            <w:rPr>
              <w:rFonts w:eastAsia="宋体"/>
              <w:sz w:val="24"/>
            </w:rPr>
            <w:tab/>
          </w:r>
          <w:r>
            <w:rPr>
              <w:rFonts w:eastAsia="宋体"/>
              <w:sz w:val="24"/>
            </w:rPr>
            <w:fldChar w:fldCharType="begin"/>
          </w:r>
          <w:r>
            <w:rPr>
              <w:rFonts w:eastAsia="宋体"/>
              <w:sz w:val="24"/>
            </w:rPr>
            <w:instrText xml:space="preserve"> PAGEREF _Toc26781 \h </w:instrText>
          </w:r>
          <w:r>
            <w:rPr>
              <w:rFonts w:eastAsia="宋体"/>
              <w:sz w:val="24"/>
            </w:rPr>
            <w:fldChar w:fldCharType="separate"/>
          </w:r>
          <w:r>
            <w:rPr>
              <w:rFonts w:eastAsia="宋体"/>
              <w:sz w:val="24"/>
            </w:rPr>
            <w:t>- 3 -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_Toc28297 </w:instrText>
          </w:r>
          <w:r>
            <w:rPr>
              <w:rFonts w:eastAsia="宋体"/>
              <w:bCs/>
              <w:sz w:val="24"/>
              <w:lang w:val="zh-CN"/>
            </w:rPr>
            <w:fldChar w:fldCharType="separate"/>
          </w:r>
          <w:r>
            <w:rPr>
              <w:rFonts w:hint="eastAsia" w:eastAsia="宋体"/>
              <w:sz w:val="24"/>
              <w:highlight w:val="none"/>
            </w:rPr>
            <w:t>第二节 自然条件</w:t>
          </w:r>
          <w:r>
            <w:rPr>
              <w:rFonts w:eastAsia="宋体"/>
              <w:sz w:val="24"/>
            </w:rPr>
            <w:tab/>
          </w:r>
          <w:r>
            <w:rPr>
              <w:rFonts w:eastAsia="宋体"/>
              <w:sz w:val="24"/>
            </w:rPr>
            <w:fldChar w:fldCharType="begin"/>
          </w:r>
          <w:r>
            <w:rPr>
              <w:rFonts w:eastAsia="宋体"/>
              <w:sz w:val="24"/>
            </w:rPr>
            <w:instrText xml:space="preserve"> PAGEREF _Toc28297 \h </w:instrText>
          </w:r>
          <w:r>
            <w:rPr>
              <w:rFonts w:eastAsia="宋体"/>
              <w:sz w:val="24"/>
            </w:rPr>
            <w:fldChar w:fldCharType="separate"/>
          </w:r>
          <w:r>
            <w:rPr>
              <w:rFonts w:eastAsia="宋体"/>
              <w:sz w:val="24"/>
            </w:rPr>
            <w:t>- 4 -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_Toc21006 </w:instrText>
          </w:r>
          <w:r>
            <w:rPr>
              <w:rFonts w:eastAsia="宋体"/>
              <w:bCs/>
              <w:sz w:val="24"/>
              <w:lang w:val="zh-CN"/>
            </w:rPr>
            <w:fldChar w:fldCharType="separate"/>
          </w:r>
          <w:r>
            <w:rPr>
              <w:rFonts w:hint="eastAsia" w:eastAsia="宋体"/>
              <w:sz w:val="24"/>
            </w:rPr>
            <w:t>第三节 社会经济概况</w:t>
          </w:r>
          <w:r>
            <w:rPr>
              <w:rFonts w:eastAsia="宋体"/>
              <w:sz w:val="24"/>
            </w:rPr>
            <w:tab/>
          </w:r>
          <w:r>
            <w:rPr>
              <w:rFonts w:eastAsia="宋体"/>
              <w:sz w:val="24"/>
            </w:rPr>
            <w:fldChar w:fldCharType="begin"/>
          </w:r>
          <w:r>
            <w:rPr>
              <w:rFonts w:eastAsia="宋体"/>
              <w:sz w:val="24"/>
            </w:rPr>
            <w:instrText xml:space="preserve"> PAGEREF _Toc21006 \h </w:instrText>
          </w:r>
          <w:r>
            <w:rPr>
              <w:rFonts w:eastAsia="宋体"/>
              <w:sz w:val="24"/>
            </w:rPr>
            <w:fldChar w:fldCharType="separate"/>
          </w:r>
          <w:r>
            <w:rPr>
              <w:rFonts w:eastAsia="宋体"/>
              <w:sz w:val="24"/>
            </w:rPr>
            <w:t>- 7 -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_Toc21202 </w:instrText>
          </w:r>
          <w:r>
            <w:rPr>
              <w:rFonts w:eastAsia="宋体"/>
              <w:bCs/>
              <w:sz w:val="24"/>
              <w:lang w:val="zh-CN"/>
            </w:rPr>
            <w:fldChar w:fldCharType="separate"/>
          </w:r>
          <w:r>
            <w:rPr>
              <w:rFonts w:hint="eastAsia" w:eastAsia="宋体"/>
              <w:sz w:val="24"/>
            </w:rPr>
            <w:t>第四节 交通状况</w:t>
          </w:r>
          <w:r>
            <w:rPr>
              <w:rFonts w:eastAsia="宋体"/>
              <w:sz w:val="24"/>
            </w:rPr>
            <w:tab/>
          </w:r>
          <w:r>
            <w:rPr>
              <w:rFonts w:eastAsia="宋体"/>
              <w:sz w:val="24"/>
            </w:rPr>
            <w:fldChar w:fldCharType="begin"/>
          </w:r>
          <w:r>
            <w:rPr>
              <w:rFonts w:eastAsia="宋体"/>
              <w:sz w:val="24"/>
            </w:rPr>
            <w:instrText xml:space="preserve"> PAGEREF _Toc21202 \h </w:instrText>
          </w:r>
          <w:r>
            <w:rPr>
              <w:rFonts w:eastAsia="宋体"/>
              <w:sz w:val="24"/>
            </w:rPr>
            <w:fldChar w:fldCharType="separate"/>
          </w:r>
          <w:r>
            <w:rPr>
              <w:rFonts w:eastAsia="宋体"/>
              <w:sz w:val="24"/>
            </w:rPr>
            <w:t>- 8 -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_Toc27896 </w:instrText>
          </w:r>
          <w:r>
            <w:rPr>
              <w:rFonts w:eastAsia="宋体"/>
              <w:bCs/>
              <w:sz w:val="24"/>
              <w:lang w:val="zh-CN"/>
            </w:rPr>
            <w:fldChar w:fldCharType="separate"/>
          </w:r>
          <w:r>
            <w:rPr>
              <w:rFonts w:hint="eastAsia" w:eastAsia="宋体"/>
              <w:sz w:val="24"/>
              <w:lang w:val="en-US" w:eastAsia="zh-CN"/>
            </w:rPr>
            <w:t>第五节 历史沿革</w:t>
          </w:r>
          <w:r>
            <w:rPr>
              <w:rFonts w:eastAsia="宋体"/>
              <w:sz w:val="24"/>
            </w:rPr>
            <w:tab/>
          </w:r>
          <w:r>
            <w:rPr>
              <w:rFonts w:eastAsia="宋体"/>
              <w:sz w:val="24"/>
            </w:rPr>
            <w:fldChar w:fldCharType="begin"/>
          </w:r>
          <w:r>
            <w:rPr>
              <w:rFonts w:eastAsia="宋体"/>
              <w:sz w:val="24"/>
            </w:rPr>
            <w:instrText xml:space="preserve"> PAGEREF _Toc27896 \h </w:instrText>
          </w:r>
          <w:r>
            <w:rPr>
              <w:rFonts w:eastAsia="宋体"/>
              <w:sz w:val="24"/>
            </w:rPr>
            <w:fldChar w:fldCharType="separate"/>
          </w:r>
          <w:r>
            <w:rPr>
              <w:rFonts w:eastAsia="宋体"/>
              <w:sz w:val="24"/>
            </w:rPr>
            <w:t>- 9 -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_Toc11745 </w:instrText>
          </w:r>
          <w:r>
            <w:rPr>
              <w:rFonts w:eastAsia="宋体"/>
              <w:bCs/>
              <w:sz w:val="24"/>
              <w:lang w:val="zh-CN"/>
            </w:rPr>
            <w:fldChar w:fldCharType="separate"/>
          </w:r>
          <w:r>
            <w:rPr>
              <w:rFonts w:hint="eastAsia" w:eastAsia="宋体"/>
              <w:sz w:val="24"/>
            </w:rPr>
            <w:t>第六节 森林公园建设与旅游现状</w:t>
          </w:r>
          <w:r>
            <w:rPr>
              <w:rFonts w:eastAsia="宋体"/>
              <w:sz w:val="24"/>
            </w:rPr>
            <w:tab/>
          </w:r>
          <w:r>
            <w:rPr>
              <w:rFonts w:eastAsia="宋体"/>
              <w:sz w:val="24"/>
            </w:rPr>
            <w:fldChar w:fldCharType="begin"/>
          </w:r>
          <w:r>
            <w:rPr>
              <w:rFonts w:eastAsia="宋体"/>
              <w:sz w:val="24"/>
            </w:rPr>
            <w:instrText xml:space="preserve"> PAGEREF _Toc11745 \h </w:instrText>
          </w:r>
          <w:r>
            <w:rPr>
              <w:rFonts w:eastAsia="宋体"/>
              <w:sz w:val="24"/>
            </w:rPr>
            <w:fldChar w:fldCharType="separate"/>
          </w:r>
          <w:r>
            <w:rPr>
              <w:rFonts w:eastAsia="宋体"/>
              <w:sz w:val="24"/>
            </w:rPr>
            <w:t>- 9 -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_Toc20228 </w:instrText>
          </w:r>
          <w:r>
            <w:rPr>
              <w:rFonts w:eastAsia="宋体"/>
              <w:b/>
              <w:bCs/>
              <w:sz w:val="24"/>
              <w:lang w:val="zh-CN"/>
            </w:rPr>
            <w:fldChar w:fldCharType="separate"/>
          </w:r>
          <w:r>
            <w:rPr>
              <w:rFonts w:hint="eastAsia" w:eastAsia="宋体" w:cs="Times New Roman"/>
              <w:b/>
              <w:bCs w:val="0"/>
              <w:i w:val="0"/>
              <w:iCs/>
              <w:kern w:val="44"/>
              <w:sz w:val="24"/>
              <w:szCs w:val="44"/>
            </w:rPr>
            <w:t>第二章 风景资源质量评价</w:t>
          </w:r>
          <w:r>
            <w:rPr>
              <w:rFonts w:eastAsia="宋体"/>
              <w:b/>
              <w:sz w:val="24"/>
            </w:rPr>
            <w:tab/>
          </w:r>
          <w:r>
            <w:rPr>
              <w:rFonts w:eastAsia="宋体"/>
              <w:b/>
              <w:sz w:val="24"/>
            </w:rPr>
            <w:fldChar w:fldCharType="begin"/>
          </w:r>
          <w:r>
            <w:rPr>
              <w:rFonts w:eastAsia="宋体"/>
              <w:b/>
              <w:sz w:val="24"/>
            </w:rPr>
            <w:instrText xml:space="preserve"> PAGEREF _Toc20228 \h </w:instrText>
          </w:r>
          <w:r>
            <w:rPr>
              <w:rFonts w:eastAsia="宋体"/>
              <w:b/>
              <w:sz w:val="24"/>
            </w:rPr>
            <w:fldChar w:fldCharType="separate"/>
          </w:r>
          <w:r>
            <w:rPr>
              <w:rFonts w:eastAsia="宋体"/>
              <w:b/>
              <w:sz w:val="24"/>
            </w:rPr>
            <w:t>- 12 -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_Toc18998 </w:instrText>
          </w:r>
          <w:r>
            <w:rPr>
              <w:rFonts w:eastAsia="宋体"/>
              <w:bCs/>
              <w:sz w:val="24"/>
              <w:lang w:val="zh-CN"/>
            </w:rPr>
            <w:fldChar w:fldCharType="separate"/>
          </w:r>
          <w:r>
            <w:rPr>
              <w:rFonts w:hint="eastAsia" w:eastAsia="宋体"/>
              <w:sz w:val="24"/>
            </w:rPr>
            <w:t xml:space="preserve">第一节 </w:t>
          </w:r>
          <w:r>
            <w:rPr>
              <w:rFonts w:hint="eastAsia" w:eastAsia="宋体"/>
              <w:sz w:val="24"/>
              <w:lang w:val="en-US" w:eastAsia="zh-CN"/>
            </w:rPr>
            <w:t>森林</w:t>
          </w:r>
          <w:r>
            <w:rPr>
              <w:rFonts w:hint="eastAsia" w:eastAsia="宋体"/>
              <w:sz w:val="24"/>
            </w:rPr>
            <w:t>风景资源质量评价</w:t>
          </w:r>
          <w:r>
            <w:rPr>
              <w:rFonts w:eastAsia="宋体"/>
              <w:sz w:val="24"/>
            </w:rPr>
            <w:tab/>
          </w:r>
          <w:r>
            <w:rPr>
              <w:rFonts w:eastAsia="宋体"/>
              <w:sz w:val="24"/>
            </w:rPr>
            <w:fldChar w:fldCharType="begin"/>
          </w:r>
          <w:r>
            <w:rPr>
              <w:rFonts w:eastAsia="宋体"/>
              <w:sz w:val="24"/>
            </w:rPr>
            <w:instrText xml:space="preserve"> PAGEREF _Toc18998 \h </w:instrText>
          </w:r>
          <w:r>
            <w:rPr>
              <w:rFonts w:eastAsia="宋体"/>
              <w:sz w:val="24"/>
            </w:rPr>
            <w:fldChar w:fldCharType="separate"/>
          </w:r>
          <w:r>
            <w:rPr>
              <w:rFonts w:eastAsia="宋体"/>
              <w:sz w:val="24"/>
            </w:rPr>
            <w:t>- 12 -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_Toc24129 </w:instrText>
          </w:r>
          <w:r>
            <w:rPr>
              <w:rFonts w:eastAsia="宋体"/>
              <w:bCs/>
              <w:sz w:val="24"/>
              <w:lang w:val="zh-CN"/>
            </w:rPr>
            <w:fldChar w:fldCharType="separate"/>
          </w:r>
          <w:r>
            <w:rPr>
              <w:rFonts w:hint="eastAsia" w:eastAsia="宋体"/>
              <w:sz w:val="24"/>
            </w:rPr>
            <w:t>第二节 区域环境质量评价</w:t>
          </w:r>
          <w:r>
            <w:rPr>
              <w:rFonts w:eastAsia="宋体"/>
              <w:sz w:val="24"/>
            </w:rPr>
            <w:tab/>
          </w:r>
          <w:r>
            <w:rPr>
              <w:rFonts w:eastAsia="宋体"/>
              <w:sz w:val="24"/>
            </w:rPr>
            <w:fldChar w:fldCharType="begin"/>
          </w:r>
          <w:r>
            <w:rPr>
              <w:rFonts w:eastAsia="宋体"/>
              <w:sz w:val="24"/>
            </w:rPr>
            <w:instrText xml:space="preserve"> PAGEREF _Toc24129 \h </w:instrText>
          </w:r>
          <w:r>
            <w:rPr>
              <w:rFonts w:eastAsia="宋体"/>
              <w:sz w:val="24"/>
            </w:rPr>
            <w:fldChar w:fldCharType="separate"/>
          </w:r>
          <w:r>
            <w:rPr>
              <w:rFonts w:eastAsia="宋体"/>
              <w:sz w:val="24"/>
            </w:rPr>
            <w:t>- 34 -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_Toc27880 </w:instrText>
          </w:r>
          <w:r>
            <w:rPr>
              <w:rFonts w:eastAsia="宋体"/>
              <w:bCs/>
              <w:sz w:val="24"/>
              <w:lang w:val="zh-CN"/>
            </w:rPr>
            <w:fldChar w:fldCharType="separate"/>
          </w:r>
          <w:r>
            <w:rPr>
              <w:rFonts w:hint="eastAsia" w:eastAsia="宋体"/>
              <w:sz w:val="24"/>
            </w:rPr>
            <w:t>第三节 旅游开发利用条件评价</w:t>
          </w:r>
          <w:r>
            <w:rPr>
              <w:rFonts w:eastAsia="宋体"/>
              <w:sz w:val="24"/>
            </w:rPr>
            <w:tab/>
          </w:r>
          <w:r>
            <w:rPr>
              <w:rFonts w:eastAsia="宋体"/>
              <w:sz w:val="24"/>
            </w:rPr>
            <w:fldChar w:fldCharType="begin"/>
          </w:r>
          <w:r>
            <w:rPr>
              <w:rFonts w:eastAsia="宋体"/>
              <w:sz w:val="24"/>
            </w:rPr>
            <w:instrText xml:space="preserve"> PAGEREF _Toc27880 \h </w:instrText>
          </w:r>
          <w:r>
            <w:rPr>
              <w:rFonts w:eastAsia="宋体"/>
              <w:sz w:val="24"/>
            </w:rPr>
            <w:fldChar w:fldCharType="separate"/>
          </w:r>
          <w:r>
            <w:rPr>
              <w:rFonts w:eastAsia="宋体"/>
              <w:sz w:val="24"/>
            </w:rPr>
            <w:t>- 36 -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_Toc3473 </w:instrText>
          </w:r>
          <w:r>
            <w:rPr>
              <w:rFonts w:eastAsia="宋体"/>
              <w:bCs/>
              <w:sz w:val="24"/>
              <w:lang w:val="zh-CN"/>
            </w:rPr>
            <w:fldChar w:fldCharType="separate"/>
          </w:r>
          <w:r>
            <w:rPr>
              <w:rFonts w:hint="eastAsia" w:eastAsia="宋体"/>
              <w:sz w:val="24"/>
            </w:rPr>
            <w:t>第四节 风景资源质量等级评定</w:t>
          </w:r>
          <w:r>
            <w:rPr>
              <w:rFonts w:eastAsia="宋体"/>
              <w:sz w:val="24"/>
            </w:rPr>
            <w:tab/>
          </w:r>
          <w:r>
            <w:rPr>
              <w:rFonts w:eastAsia="宋体"/>
              <w:sz w:val="24"/>
            </w:rPr>
            <w:fldChar w:fldCharType="begin"/>
          </w:r>
          <w:r>
            <w:rPr>
              <w:rFonts w:eastAsia="宋体"/>
              <w:sz w:val="24"/>
            </w:rPr>
            <w:instrText xml:space="preserve"> PAGEREF _Toc3473 \h </w:instrText>
          </w:r>
          <w:r>
            <w:rPr>
              <w:rFonts w:eastAsia="宋体"/>
              <w:sz w:val="24"/>
            </w:rPr>
            <w:fldChar w:fldCharType="separate"/>
          </w:r>
          <w:r>
            <w:rPr>
              <w:rFonts w:eastAsia="宋体"/>
              <w:sz w:val="24"/>
            </w:rPr>
            <w:t>- 38 -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_Toc32496 </w:instrText>
          </w:r>
          <w:r>
            <w:rPr>
              <w:rFonts w:eastAsia="宋体"/>
              <w:b/>
              <w:bCs/>
              <w:sz w:val="24"/>
              <w:lang w:val="zh-CN"/>
            </w:rPr>
            <w:fldChar w:fldCharType="separate"/>
          </w:r>
          <w:r>
            <w:rPr>
              <w:rFonts w:hint="eastAsia" w:eastAsia="宋体" w:cs="Times New Roman"/>
              <w:b/>
              <w:bCs w:val="0"/>
              <w:i w:val="0"/>
              <w:iCs/>
              <w:kern w:val="44"/>
              <w:sz w:val="24"/>
              <w:szCs w:val="44"/>
            </w:rPr>
            <w:t>第三章 规划总则</w:t>
          </w:r>
          <w:r>
            <w:rPr>
              <w:rFonts w:eastAsia="宋体"/>
              <w:b/>
              <w:sz w:val="24"/>
            </w:rPr>
            <w:tab/>
          </w:r>
          <w:r>
            <w:rPr>
              <w:rFonts w:eastAsia="宋体"/>
              <w:b/>
              <w:sz w:val="24"/>
            </w:rPr>
            <w:fldChar w:fldCharType="begin"/>
          </w:r>
          <w:r>
            <w:rPr>
              <w:rFonts w:eastAsia="宋体"/>
              <w:b/>
              <w:sz w:val="24"/>
            </w:rPr>
            <w:instrText xml:space="preserve"> PAGEREF _Toc32496 \h </w:instrText>
          </w:r>
          <w:r>
            <w:rPr>
              <w:rFonts w:eastAsia="宋体"/>
              <w:b/>
              <w:sz w:val="24"/>
            </w:rPr>
            <w:fldChar w:fldCharType="separate"/>
          </w:r>
          <w:r>
            <w:rPr>
              <w:rFonts w:eastAsia="宋体"/>
              <w:b/>
              <w:sz w:val="24"/>
            </w:rPr>
            <w:t>- 40 -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_Toc17715 </w:instrText>
          </w:r>
          <w:r>
            <w:rPr>
              <w:rFonts w:eastAsia="宋体"/>
              <w:bCs/>
              <w:sz w:val="24"/>
              <w:lang w:val="zh-CN"/>
            </w:rPr>
            <w:fldChar w:fldCharType="separate"/>
          </w:r>
          <w:r>
            <w:rPr>
              <w:rFonts w:hint="eastAsia" w:eastAsia="宋体"/>
              <w:sz w:val="24"/>
            </w:rPr>
            <w:t>第一节 指导思想</w:t>
          </w:r>
          <w:r>
            <w:rPr>
              <w:rFonts w:eastAsia="宋体"/>
              <w:sz w:val="24"/>
            </w:rPr>
            <w:tab/>
          </w:r>
          <w:r>
            <w:rPr>
              <w:rFonts w:eastAsia="宋体"/>
              <w:sz w:val="24"/>
            </w:rPr>
            <w:fldChar w:fldCharType="begin"/>
          </w:r>
          <w:r>
            <w:rPr>
              <w:rFonts w:eastAsia="宋体"/>
              <w:sz w:val="24"/>
            </w:rPr>
            <w:instrText xml:space="preserve"> PAGEREF _Toc17715 \h </w:instrText>
          </w:r>
          <w:r>
            <w:rPr>
              <w:rFonts w:eastAsia="宋体"/>
              <w:sz w:val="24"/>
            </w:rPr>
            <w:fldChar w:fldCharType="separate"/>
          </w:r>
          <w:r>
            <w:rPr>
              <w:rFonts w:eastAsia="宋体"/>
              <w:sz w:val="24"/>
            </w:rPr>
            <w:t>- 40 -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_Toc9720 </w:instrText>
          </w:r>
          <w:r>
            <w:rPr>
              <w:rFonts w:eastAsia="宋体"/>
              <w:bCs/>
              <w:sz w:val="24"/>
              <w:lang w:val="zh-CN"/>
            </w:rPr>
            <w:fldChar w:fldCharType="separate"/>
          </w:r>
          <w:r>
            <w:rPr>
              <w:rFonts w:hint="eastAsia" w:eastAsia="宋体"/>
              <w:sz w:val="24"/>
            </w:rPr>
            <w:t>第二节 规划原则</w:t>
          </w:r>
          <w:r>
            <w:rPr>
              <w:rFonts w:eastAsia="宋体"/>
              <w:sz w:val="24"/>
            </w:rPr>
            <w:tab/>
          </w:r>
          <w:r>
            <w:rPr>
              <w:rFonts w:eastAsia="宋体"/>
              <w:sz w:val="24"/>
            </w:rPr>
            <w:fldChar w:fldCharType="begin"/>
          </w:r>
          <w:r>
            <w:rPr>
              <w:rFonts w:eastAsia="宋体"/>
              <w:sz w:val="24"/>
            </w:rPr>
            <w:instrText xml:space="preserve"> PAGEREF _Toc9720 \h </w:instrText>
          </w:r>
          <w:r>
            <w:rPr>
              <w:rFonts w:eastAsia="宋体"/>
              <w:sz w:val="24"/>
            </w:rPr>
            <w:fldChar w:fldCharType="separate"/>
          </w:r>
          <w:r>
            <w:rPr>
              <w:rFonts w:eastAsia="宋体"/>
              <w:sz w:val="24"/>
            </w:rPr>
            <w:t>- 40 -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_Toc8432 </w:instrText>
          </w:r>
          <w:r>
            <w:rPr>
              <w:rFonts w:eastAsia="宋体"/>
              <w:bCs/>
              <w:sz w:val="24"/>
              <w:lang w:val="zh-CN"/>
            </w:rPr>
            <w:fldChar w:fldCharType="separate"/>
          </w:r>
          <w:r>
            <w:rPr>
              <w:rFonts w:hint="eastAsia" w:eastAsia="宋体"/>
              <w:sz w:val="24"/>
            </w:rPr>
            <w:t>第三节 规划依据</w:t>
          </w:r>
          <w:r>
            <w:rPr>
              <w:rFonts w:eastAsia="宋体"/>
              <w:sz w:val="24"/>
            </w:rPr>
            <w:tab/>
          </w:r>
          <w:r>
            <w:rPr>
              <w:rFonts w:eastAsia="宋体"/>
              <w:sz w:val="24"/>
            </w:rPr>
            <w:fldChar w:fldCharType="begin"/>
          </w:r>
          <w:r>
            <w:rPr>
              <w:rFonts w:eastAsia="宋体"/>
              <w:sz w:val="24"/>
            </w:rPr>
            <w:instrText xml:space="preserve"> PAGEREF _Toc8432 \h </w:instrText>
          </w:r>
          <w:r>
            <w:rPr>
              <w:rFonts w:eastAsia="宋体"/>
              <w:sz w:val="24"/>
            </w:rPr>
            <w:fldChar w:fldCharType="separate"/>
          </w:r>
          <w:r>
            <w:rPr>
              <w:rFonts w:eastAsia="宋体"/>
              <w:sz w:val="24"/>
            </w:rPr>
            <w:t>- 42 -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_Toc28766 </w:instrText>
          </w:r>
          <w:r>
            <w:rPr>
              <w:rFonts w:eastAsia="宋体"/>
              <w:bCs/>
              <w:sz w:val="24"/>
              <w:lang w:val="zh-CN"/>
            </w:rPr>
            <w:fldChar w:fldCharType="separate"/>
          </w:r>
          <w:r>
            <w:rPr>
              <w:rFonts w:hint="eastAsia" w:eastAsia="宋体"/>
              <w:sz w:val="24"/>
            </w:rPr>
            <w:t>第四节 森林公园定位</w:t>
          </w:r>
          <w:r>
            <w:rPr>
              <w:rFonts w:eastAsia="宋体"/>
              <w:sz w:val="24"/>
            </w:rPr>
            <w:tab/>
          </w:r>
          <w:r>
            <w:rPr>
              <w:rFonts w:eastAsia="宋体"/>
              <w:sz w:val="24"/>
            </w:rPr>
            <w:fldChar w:fldCharType="begin"/>
          </w:r>
          <w:r>
            <w:rPr>
              <w:rFonts w:eastAsia="宋体"/>
              <w:sz w:val="24"/>
            </w:rPr>
            <w:instrText xml:space="preserve"> PAGEREF _Toc28766 \h </w:instrText>
          </w:r>
          <w:r>
            <w:rPr>
              <w:rFonts w:eastAsia="宋体"/>
              <w:sz w:val="24"/>
            </w:rPr>
            <w:fldChar w:fldCharType="separate"/>
          </w:r>
          <w:r>
            <w:rPr>
              <w:rFonts w:eastAsia="宋体"/>
              <w:sz w:val="24"/>
            </w:rPr>
            <w:t>- 44 -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sz w:val="24"/>
            </w:rPr>
          </w:pPr>
          <w:r>
            <w:rPr>
              <w:rFonts w:eastAsia="宋体"/>
              <w:b/>
              <w:bCs/>
              <w:sz w:val="24"/>
              <w:lang w:val="zh-CN"/>
            </w:rPr>
            <w:fldChar w:fldCharType="begin"/>
          </w:r>
          <w:r>
            <w:rPr>
              <w:rFonts w:eastAsia="宋体"/>
              <w:b/>
              <w:bCs/>
              <w:sz w:val="24"/>
              <w:lang w:val="zh-CN"/>
            </w:rPr>
            <w:instrText xml:space="preserve"> HYPERLINK \l _Toc14464 </w:instrText>
          </w:r>
          <w:r>
            <w:rPr>
              <w:rFonts w:eastAsia="宋体"/>
              <w:b/>
              <w:bCs/>
              <w:sz w:val="24"/>
              <w:lang w:val="zh-CN"/>
            </w:rPr>
            <w:fldChar w:fldCharType="separate"/>
          </w:r>
          <w:r>
            <w:rPr>
              <w:rFonts w:hint="eastAsia" w:eastAsia="宋体" w:cs="Times New Roman"/>
              <w:b/>
              <w:bCs w:val="0"/>
              <w:i w:val="0"/>
              <w:iCs/>
              <w:kern w:val="44"/>
              <w:sz w:val="24"/>
              <w:szCs w:val="44"/>
            </w:rPr>
            <w:t>第四章 总体布局</w:t>
          </w:r>
          <w:r>
            <w:rPr>
              <w:rFonts w:hint="eastAsia" w:eastAsia="宋体" w:cs="Times New Roman"/>
              <w:b/>
              <w:bCs w:val="0"/>
              <w:i w:val="0"/>
              <w:iCs/>
              <w:kern w:val="44"/>
              <w:sz w:val="24"/>
              <w:szCs w:val="44"/>
              <w:lang w:val="en-US" w:eastAsia="zh-CN"/>
            </w:rPr>
            <w:t>与发展目标</w:t>
          </w:r>
          <w:r>
            <w:rPr>
              <w:rFonts w:eastAsia="宋体"/>
              <w:b/>
              <w:sz w:val="24"/>
            </w:rPr>
            <w:tab/>
          </w:r>
          <w:r>
            <w:rPr>
              <w:rFonts w:eastAsia="宋体"/>
              <w:b/>
              <w:sz w:val="24"/>
            </w:rPr>
            <w:fldChar w:fldCharType="begin"/>
          </w:r>
          <w:r>
            <w:rPr>
              <w:rFonts w:eastAsia="宋体"/>
              <w:b/>
              <w:sz w:val="24"/>
            </w:rPr>
            <w:instrText xml:space="preserve"> PAGEREF _Toc14464 \h </w:instrText>
          </w:r>
          <w:r>
            <w:rPr>
              <w:rFonts w:eastAsia="宋体"/>
              <w:b/>
              <w:sz w:val="24"/>
            </w:rPr>
            <w:fldChar w:fldCharType="separate"/>
          </w:r>
          <w:r>
            <w:rPr>
              <w:rFonts w:eastAsia="宋体"/>
              <w:b/>
              <w:sz w:val="24"/>
            </w:rPr>
            <w:t>- 47 -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_Toc5769 </w:instrText>
          </w:r>
          <w:r>
            <w:rPr>
              <w:rFonts w:eastAsia="宋体"/>
              <w:bCs/>
              <w:sz w:val="24"/>
              <w:lang w:val="zh-CN"/>
            </w:rPr>
            <w:fldChar w:fldCharType="separate"/>
          </w:r>
          <w:r>
            <w:rPr>
              <w:rFonts w:hint="eastAsia" w:eastAsia="宋体"/>
              <w:sz w:val="24"/>
            </w:rPr>
            <w:t>第一节 森林公园范围</w:t>
          </w:r>
          <w:r>
            <w:rPr>
              <w:rFonts w:eastAsia="宋体"/>
              <w:sz w:val="24"/>
            </w:rPr>
            <w:tab/>
          </w:r>
          <w:r>
            <w:rPr>
              <w:rFonts w:eastAsia="宋体"/>
              <w:sz w:val="24"/>
            </w:rPr>
            <w:fldChar w:fldCharType="begin"/>
          </w:r>
          <w:r>
            <w:rPr>
              <w:rFonts w:eastAsia="宋体"/>
              <w:sz w:val="24"/>
            </w:rPr>
            <w:instrText xml:space="preserve"> PAGEREF _Toc5769 \h </w:instrText>
          </w:r>
          <w:r>
            <w:rPr>
              <w:rFonts w:eastAsia="宋体"/>
              <w:sz w:val="24"/>
            </w:rPr>
            <w:fldChar w:fldCharType="separate"/>
          </w:r>
          <w:r>
            <w:rPr>
              <w:rFonts w:eastAsia="宋体"/>
              <w:sz w:val="24"/>
            </w:rPr>
            <w:t>- 47 -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_Toc3088 </w:instrText>
          </w:r>
          <w:r>
            <w:rPr>
              <w:rFonts w:eastAsia="宋体"/>
              <w:bCs/>
              <w:sz w:val="24"/>
              <w:lang w:val="zh-CN"/>
            </w:rPr>
            <w:fldChar w:fldCharType="separate"/>
          </w:r>
          <w:r>
            <w:rPr>
              <w:rFonts w:hint="eastAsia" w:eastAsia="宋体"/>
              <w:sz w:val="24"/>
            </w:rPr>
            <w:t>第二节 总体布局</w:t>
          </w:r>
          <w:r>
            <w:rPr>
              <w:rFonts w:eastAsia="宋体"/>
              <w:sz w:val="24"/>
            </w:rPr>
            <w:tab/>
          </w:r>
          <w:r>
            <w:rPr>
              <w:rFonts w:eastAsia="宋体"/>
              <w:sz w:val="24"/>
            </w:rPr>
            <w:fldChar w:fldCharType="begin"/>
          </w:r>
          <w:r>
            <w:rPr>
              <w:rFonts w:eastAsia="宋体"/>
              <w:sz w:val="24"/>
            </w:rPr>
            <w:instrText xml:space="preserve"> PAGEREF _Toc3088 \h </w:instrText>
          </w:r>
          <w:r>
            <w:rPr>
              <w:rFonts w:eastAsia="宋体"/>
              <w:sz w:val="24"/>
            </w:rPr>
            <w:fldChar w:fldCharType="separate"/>
          </w:r>
          <w:r>
            <w:rPr>
              <w:rFonts w:eastAsia="宋体"/>
              <w:sz w:val="24"/>
            </w:rPr>
            <w:t>- 47 -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_Toc9163 </w:instrText>
          </w:r>
          <w:r>
            <w:rPr>
              <w:rFonts w:eastAsia="宋体"/>
              <w:bCs/>
              <w:sz w:val="24"/>
              <w:lang w:val="zh-CN"/>
            </w:rPr>
            <w:fldChar w:fldCharType="separate"/>
          </w:r>
          <w:r>
            <w:rPr>
              <w:rFonts w:hint="eastAsia" w:eastAsia="宋体"/>
              <w:sz w:val="24"/>
              <w:lang w:val="en-US" w:eastAsia="zh-CN"/>
            </w:rPr>
            <w:t>第三节 分区建设项目规划</w:t>
          </w:r>
          <w:r>
            <w:rPr>
              <w:rFonts w:eastAsia="宋体"/>
              <w:sz w:val="24"/>
            </w:rPr>
            <w:tab/>
          </w:r>
          <w:r>
            <w:rPr>
              <w:rFonts w:eastAsia="宋体"/>
              <w:sz w:val="24"/>
            </w:rPr>
            <w:fldChar w:fldCharType="begin"/>
          </w:r>
          <w:r>
            <w:rPr>
              <w:rFonts w:eastAsia="宋体"/>
              <w:sz w:val="24"/>
            </w:rPr>
            <w:instrText xml:space="preserve"> PAGEREF _Toc9163 \h </w:instrText>
          </w:r>
          <w:r>
            <w:rPr>
              <w:rFonts w:eastAsia="宋体"/>
              <w:sz w:val="24"/>
            </w:rPr>
            <w:fldChar w:fldCharType="separate"/>
          </w:r>
          <w:r>
            <w:rPr>
              <w:rFonts w:eastAsia="宋体"/>
              <w:sz w:val="24"/>
            </w:rPr>
            <w:t>- 49 -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_Toc15897 </w:instrText>
          </w:r>
          <w:r>
            <w:rPr>
              <w:rFonts w:eastAsia="宋体"/>
              <w:bCs/>
              <w:sz w:val="24"/>
              <w:lang w:val="zh-CN"/>
            </w:rPr>
            <w:fldChar w:fldCharType="separate"/>
          </w:r>
          <w:r>
            <w:rPr>
              <w:rFonts w:hint="eastAsia" w:eastAsia="宋体"/>
              <w:sz w:val="24"/>
              <w:lang w:val="en-US" w:eastAsia="zh-CN"/>
            </w:rPr>
            <w:t>第四节 规划分期</w:t>
          </w:r>
          <w:r>
            <w:rPr>
              <w:rFonts w:eastAsia="宋体"/>
              <w:sz w:val="24"/>
            </w:rPr>
            <w:tab/>
          </w:r>
          <w:r>
            <w:rPr>
              <w:rFonts w:eastAsia="宋体"/>
              <w:sz w:val="24"/>
            </w:rPr>
            <w:fldChar w:fldCharType="begin"/>
          </w:r>
          <w:r>
            <w:rPr>
              <w:rFonts w:eastAsia="宋体"/>
              <w:sz w:val="24"/>
            </w:rPr>
            <w:instrText xml:space="preserve"> PAGEREF _Toc15897 \h </w:instrText>
          </w:r>
          <w:r>
            <w:rPr>
              <w:rFonts w:eastAsia="宋体"/>
              <w:sz w:val="24"/>
            </w:rPr>
            <w:fldChar w:fldCharType="separate"/>
          </w:r>
          <w:r>
            <w:rPr>
              <w:rFonts w:eastAsia="宋体"/>
              <w:sz w:val="24"/>
            </w:rPr>
            <w:t>- 52 -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_Toc11103 </w:instrText>
          </w:r>
          <w:r>
            <w:rPr>
              <w:rFonts w:eastAsia="宋体"/>
              <w:bCs/>
              <w:sz w:val="24"/>
              <w:lang w:val="zh-CN"/>
            </w:rPr>
            <w:fldChar w:fldCharType="separate"/>
          </w:r>
          <w:r>
            <w:rPr>
              <w:rFonts w:hint="eastAsia" w:eastAsia="宋体"/>
              <w:sz w:val="24"/>
              <w:lang w:val="en-US" w:eastAsia="zh-CN"/>
            </w:rPr>
            <w:t>第五节 发展目标</w:t>
          </w:r>
          <w:r>
            <w:rPr>
              <w:rFonts w:eastAsia="宋体"/>
              <w:sz w:val="24"/>
            </w:rPr>
            <w:tab/>
          </w:r>
          <w:r>
            <w:rPr>
              <w:rFonts w:eastAsia="宋体"/>
              <w:sz w:val="24"/>
            </w:rPr>
            <w:fldChar w:fldCharType="begin"/>
          </w:r>
          <w:r>
            <w:rPr>
              <w:rFonts w:eastAsia="宋体"/>
              <w:sz w:val="24"/>
            </w:rPr>
            <w:instrText xml:space="preserve"> PAGEREF _Toc11103 \h </w:instrText>
          </w:r>
          <w:r>
            <w:rPr>
              <w:rFonts w:eastAsia="宋体"/>
              <w:sz w:val="24"/>
            </w:rPr>
            <w:fldChar w:fldCharType="separate"/>
          </w:r>
          <w:r>
            <w:rPr>
              <w:rFonts w:eastAsia="宋体"/>
              <w:sz w:val="24"/>
            </w:rPr>
            <w:t>- 53 -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sz w:val="24"/>
            </w:rPr>
          </w:pPr>
          <w:r>
            <w:rPr>
              <w:rFonts w:eastAsia="宋体"/>
              <w:b/>
              <w:bCs/>
              <w:sz w:val="24"/>
              <w:lang w:val="zh-CN"/>
            </w:rPr>
            <w:fldChar w:fldCharType="begin"/>
          </w:r>
          <w:r>
            <w:rPr>
              <w:rFonts w:eastAsia="宋体"/>
              <w:b/>
              <w:bCs/>
              <w:sz w:val="24"/>
              <w:lang w:val="zh-CN"/>
            </w:rPr>
            <w:instrText xml:space="preserve"> HYPERLINK \l _Toc19695 </w:instrText>
          </w:r>
          <w:r>
            <w:rPr>
              <w:rFonts w:eastAsia="宋体"/>
              <w:b/>
              <w:bCs/>
              <w:sz w:val="24"/>
              <w:lang w:val="zh-CN"/>
            </w:rPr>
            <w:fldChar w:fldCharType="separate"/>
          </w:r>
          <w:r>
            <w:rPr>
              <w:rFonts w:hint="eastAsia" w:eastAsia="宋体" w:cs="Times New Roman"/>
              <w:b/>
              <w:bCs w:val="0"/>
              <w:i w:val="0"/>
              <w:iCs/>
              <w:kern w:val="44"/>
              <w:sz w:val="24"/>
              <w:szCs w:val="44"/>
            </w:rPr>
            <w:t>第五章 环境容量估算与游客规模预测</w:t>
          </w:r>
          <w:r>
            <w:rPr>
              <w:rFonts w:eastAsia="宋体"/>
              <w:b/>
              <w:sz w:val="24"/>
            </w:rPr>
            <w:tab/>
          </w:r>
          <w:r>
            <w:rPr>
              <w:rFonts w:eastAsia="宋体"/>
              <w:b/>
              <w:sz w:val="24"/>
            </w:rPr>
            <w:fldChar w:fldCharType="begin"/>
          </w:r>
          <w:r>
            <w:rPr>
              <w:rFonts w:eastAsia="宋体"/>
              <w:b/>
              <w:sz w:val="24"/>
            </w:rPr>
            <w:instrText xml:space="preserve"> PAGEREF _Toc19695 \h </w:instrText>
          </w:r>
          <w:r>
            <w:rPr>
              <w:rFonts w:eastAsia="宋体"/>
              <w:b/>
              <w:sz w:val="24"/>
            </w:rPr>
            <w:fldChar w:fldCharType="separate"/>
          </w:r>
          <w:r>
            <w:rPr>
              <w:rFonts w:eastAsia="宋体"/>
              <w:b/>
              <w:sz w:val="24"/>
            </w:rPr>
            <w:t>- 55 -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_Toc4675 </w:instrText>
          </w:r>
          <w:r>
            <w:rPr>
              <w:rFonts w:eastAsia="宋体"/>
              <w:bCs/>
              <w:sz w:val="24"/>
              <w:lang w:val="zh-CN"/>
            </w:rPr>
            <w:fldChar w:fldCharType="separate"/>
          </w:r>
          <w:r>
            <w:rPr>
              <w:rFonts w:hint="eastAsia" w:eastAsia="宋体"/>
              <w:sz w:val="24"/>
              <w:lang w:val="en-US" w:eastAsia="zh-CN"/>
            </w:rPr>
            <w:t>第一节 环境容量估算</w:t>
          </w:r>
          <w:r>
            <w:rPr>
              <w:rFonts w:eastAsia="宋体"/>
              <w:sz w:val="24"/>
            </w:rPr>
            <w:tab/>
          </w:r>
          <w:r>
            <w:rPr>
              <w:rFonts w:eastAsia="宋体"/>
              <w:sz w:val="24"/>
            </w:rPr>
            <w:fldChar w:fldCharType="begin"/>
          </w:r>
          <w:r>
            <w:rPr>
              <w:rFonts w:eastAsia="宋体"/>
              <w:sz w:val="24"/>
            </w:rPr>
            <w:instrText xml:space="preserve"> PAGEREF _Toc4675 \h </w:instrText>
          </w:r>
          <w:r>
            <w:rPr>
              <w:rFonts w:eastAsia="宋体"/>
              <w:sz w:val="24"/>
            </w:rPr>
            <w:fldChar w:fldCharType="separate"/>
          </w:r>
          <w:r>
            <w:rPr>
              <w:rFonts w:eastAsia="宋体"/>
              <w:sz w:val="24"/>
            </w:rPr>
            <w:t>- 55 -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_Toc20905 </w:instrText>
          </w:r>
          <w:r>
            <w:rPr>
              <w:rFonts w:eastAsia="宋体"/>
              <w:bCs/>
              <w:sz w:val="24"/>
              <w:lang w:val="zh-CN"/>
            </w:rPr>
            <w:fldChar w:fldCharType="separate"/>
          </w:r>
          <w:r>
            <w:rPr>
              <w:rFonts w:hint="eastAsia" w:eastAsia="宋体"/>
              <w:sz w:val="24"/>
              <w:lang w:val="en-US" w:eastAsia="zh-CN"/>
            </w:rPr>
            <w:t>第二节 客源市场分析</w:t>
          </w:r>
          <w:r>
            <w:rPr>
              <w:rFonts w:eastAsia="宋体"/>
              <w:sz w:val="24"/>
            </w:rPr>
            <w:tab/>
          </w:r>
          <w:r>
            <w:rPr>
              <w:rFonts w:eastAsia="宋体"/>
              <w:sz w:val="24"/>
            </w:rPr>
            <w:fldChar w:fldCharType="begin"/>
          </w:r>
          <w:r>
            <w:rPr>
              <w:rFonts w:eastAsia="宋体"/>
              <w:sz w:val="24"/>
            </w:rPr>
            <w:instrText xml:space="preserve"> PAGEREF _Toc20905 \h </w:instrText>
          </w:r>
          <w:r>
            <w:rPr>
              <w:rFonts w:eastAsia="宋体"/>
              <w:sz w:val="24"/>
            </w:rPr>
            <w:fldChar w:fldCharType="separate"/>
          </w:r>
          <w:r>
            <w:rPr>
              <w:rFonts w:eastAsia="宋体"/>
              <w:sz w:val="24"/>
            </w:rPr>
            <w:t>- 58 -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_Toc32002 </w:instrText>
          </w:r>
          <w:r>
            <w:rPr>
              <w:rFonts w:eastAsia="宋体"/>
              <w:bCs/>
              <w:sz w:val="24"/>
              <w:lang w:val="zh-CN"/>
            </w:rPr>
            <w:fldChar w:fldCharType="separate"/>
          </w:r>
          <w:r>
            <w:rPr>
              <w:rFonts w:hint="eastAsia" w:eastAsia="宋体"/>
              <w:sz w:val="24"/>
              <w:lang w:val="en-US" w:eastAsia="zh-CN"/>
            </w:rPr>
            <w:t>第三节 游客规模预测</w:t>
          </w:r>
          <w:r>
            <w:rPr>
              <w:rFonts w:eastAsia="宋体"/>
              <w:sz w:val="24"/>
            </w:rPr>
            <w:tab/>
          </w:r>
          <w:r>
            <w:rPr>
              <w:rFonts w:eastAsia="宋体"/>
              <w:sz w:val="24"/>
            </w:rPr>
            <w:fldChar w:fldCharType="begin"/>
          </w:r>
          <w:r>
            <w:rPr>
              <w:rFonts w:eastAsia="宋体"/>
              <w:sz w:val="24"/>
            </w:rPr>
            <w:instrText xml:space="preserve"> PAGEREF _Toc32002 \h </w:instrText>
          </w:r>
          <w:r>
            <w:rPr>
              <w:rFonts w:eastAsia="宋体"/>
              <w:sz w:val="24"/>
            </w:rPr>
            <w:fldChar w:fldCharType="separate"/>
          </w:r>
          <w:r>
            <w:rPr>
              <w:rFonts w:eastAsia="宋体"/>
              <w:sz w:val="24"/>
            </w:rPr>
            <w:t>- 59 -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_Toc14154 </w:instrText>
          </w:r>
          <w:r>
            <w:rPr>
              <w:rFonts w:eastAsia="宋体"/>
              <w:b/>
              <w:bCs/>
              <w:sz w:val="24"/>
              <w:lang w:val="zh-CN"/>
            </w:rPr>
            <w:fldChar w:fldCharType="separate"/>
          </w:r>
          <w:r>
            <w:rPr>
              <w:rFonts w:hint="eastAsia" w:eastAsia="宋体" w:cs="Times New Roman"/>
              <w:b/>
              <w:bCs w:val="0"/>
              <w:i w:val="0"/>
              <w:iCs/>
              <w:kern w:val="44"/>
              <w:sz w:val="24"/>
              <w:szCs w:val="44"/>
            </w:rPr>
            <w:t>第六章 景点与游览线路规划</w:t>
          </w:r>
          <w:r>
            <w:rPr>
              <w:rFonts w:eastAsia="宋体"/>
              <w:b/>
              <w:sz w:val="24"/>
            </w:rPr>
            <w:tab/>
          </w:r>
          <w:r>
            <w:rPr>
              <w:rFonts w:eastAsia="宋体"/>
              <w:b/>
              <w:sz w:val="24"/>
            </w:rPr>
            <w:fldChar w:fldCharType="begin"/>
          </w:r>
          <w:r>
            <w:rPr>
              <w:rFonts w:eastAsia="宋体"/>
              <w:b/>
              <w:sz w:val="24"/>
            </w:rPr>
            <w:instrText xml:space="preserve"> PAGEREF _Toc14154 \h </w:instrText>
          </w:r>
          <w:r>
            <w:rPr>
              <w:rFonts w:eastAsia="宋体"/>
              <w:b/>
              <w:sz w:val="24"/>
            </w:rPr>
            <w:fldChar w:fldCharType="separate"/>
          </w:r>
          <w:r>
            <w:rPr>
              <w:rFonts w:eastAsia="宋体"/>
              <w:b/>
              <w:sz w:val="24"/>
            </w:rPr>
            <w:t>- 62 -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_Toc10406 </w:instrText>
          </w:r>
          <w:r>
            <w:rPr>
              <w:rFonts w:eastAsia="宋体"/>
              <w:bCs/>
              <w:sz w:val="24"/>
              <w:lang w:val="zh-CN"/>
            </w:rPr>
            <w:fldChar w:fldCharType="separate"/>
          </w:r>
          <w:r>
            <w:rPr>
              <w:rFonts w:hint="eastAsia" w:eastAsia="宋体"/>
              <w:sz w:val="24"/>
              <w:lang w:val="en-US" w:eastAsia="zh-CN"/>
            </w:rPr>
            <w:t>第一节 景点规划</w:t>
          </w:r>
          <w:r>
            <w:rPr>
              <w:rFonts w:eastAsia="宋体"/>
              <w:sz w:val="24"/>
            </w:rPr>
            <w:tab/>
          </w:r>
          <w:r>
            <w:rPr>
              <w:rFonts w:eastAsia="宋体"/>
              <w:sz w:val="24"/>
            </w:rPr>
            <w:fldChar w:fldCharType="begin"/>
          </w:r>
          <w:r>
            <w:rPr>
              <w:rFonts w:eastAsia="宋体"/>
              <w:sz w:val="24"/>
            </w:rPr>
            <w:instrText xml:space="preserve"> PAGEREF _Toc10406 \h </w:instrText>
          </w:r>
          <w:r>
            <w:rPr>
              <w:rFonts w:eastAsia="宋体"/>
              <w:sz w:val="24"/>
            </w:rPr>
            <w:fldChar w:fldCharType="separate"/>
          </w:r>
          <w:r>
            <w:rPr>
              <w:rFonts w:eastAsia="宋体"/>
              <w:sz w:val="24"/>
            </w:rPr>
            <w:t>- 62 -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_Toc13410 </w:instrText>
          </w:r>
          <w:r>
            <w:rPr>
              <w:rFonts w:eastAsia="宋体"/>
              <w:bCs/>
              <w:sz w:val="24"/>
              <w:lang w:val="zh-CN"/>
            </w:rPr>
            <w:fldChar w:fldCharType="separate"/>
          </w:r>
          <w:r>
            <w:rPr>
              <w:rFonts w:hint="eastAsia" w:eastAsia="宋体"/>
              <w:sz w:val="24"/>
              <w:lang w:val="en-US" w:eastAsia="zh-CN"/>
            </w:rPr>
            <w:t>第二节 游览线路规划</w:t>
          </w:r>
          <w:r>
            <w:rPr>
              <w:rFonts w:eastAsia="宋体"/>
              <w:sz w:val="24"/>
            </w:rPr>
            <w:tab/>
          </w:r>
          <w:r>
            <w:rPr>
              <w:rFonts w:eastAsia="宋体"/>
              <w:sz w:val="24"/>
            </w:rPr>
            <w:fldChar w:fldCharType="begin"/>
          </w:r>
          <w:r>
            <w:rPr>
              <w:rFonts w:eastAsia="宋体"/>
              <w:sz w:val="24"/>
            </w:rPr>
            <w:instrText xml:space="preserve"> PAGEREF _Toc13410 \h </w:instrText>
          </w:r>
          <w:r>
            <w:rPr>
              <w:rFonts w:eastAsia="宋体"/>
              <w:sz w:val="24"/>
            </w:rPr>
            <w:fldChar w:fldCharType="separate"/>
          </w:r>
          <w:r>
            <w:rPr>
              <w:rFonts w:eastAsia="宋体"/>
              <w:sz w:val="24"/>
            </w:rPr>
            <w:t>- 65 -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sz w:val="24"/>
            </w:rPr>
          </w:pPr>
          <w:r>
            <w:rPr>
              <w:rFonts w:eastAsia="宋体"/>
              <w:b/>
              <w:bCs/>
              <w:sz w:val="24"/>
              <w:lang w:val="zh-CN"/>
            </w:rPr>
            <w:fldChar w:fldCharType="begin"/>
          </w:r>
          <w:r>
            <w:rPr>
              <w:rFonts w:eastAsia="宋体"/>
              <w:b/>
              <w:bCs/>
              <w:sz w:val="24"/>
              <w:lang w:val="zh-CN"/>
            </w:rPr>
            <w:instrText xml:space="preserve"> HYPERLINK \l _Toc28783 </w:instrText>
          </w:r>
          <w:r>
            <w:rPr>
              <w:rFonts w:eastAsia="宋体"/>
              <w:b/>
              <w:bCs/>
              <w:sz w:val="24"/>
              <w:lang w:val="zh-CN"/>
            </w:rPr>
            <w:fldChar w:fldCharType="separate"/>
          </w:r>
          <w:r>
            <w:rPr>
              <w:rFonts w:hint="eastAsia" w:eastAsia="宋体" w:cs="Times New Roman"/>
              <w:b/>
              <w:bCs w:val="0"/>
              <w:i w:val="0"/>
              <w:iCs/>
              <w:kern w:val="44"/>
              <w:sz w:val="24"/>
              <w:szCs w:val="44"/>
            </w:rPr>
            <w:t>第七章 基础服务设施规划</w:t>
          </w:r>
          <w:r>
            <w:rPr>
              <w:rFonts w:eastAsia="宋体"/>
              <w:b/>
              <w:sz w:val="24"/>
            </w:rPr>
            <w:tab/>
          </w:r>
          <w:r>
            <w:rPr>
              <w:rFonts w:eastAsia="宋体"/>
              <w:b/>
              <w:sz w:val="24"/>
            </w:rPr>
            <w:fldChar w:fldCharType="begin"/>
          </w:r>
          <w:r>
            <w:rPr>
              <w:rFonts w:eastAsia="宋体"/>
              <w:b/>
              <w:sz w:val="24"/>
            </w:rPr>
            <w:instrText xml:space="preserve"> PAGEREF _Toc28783 \h </w:instrText>
          </w:r>
          <w:r>
            <w:rPr>
              <w:rFonts w:eastAsia="宋体"/>
              <w:b/>
              <w:sz w:val="24"/>
            </w:rPr>
            <w:fldChar w:fldCharType="separate"/>
          </w:r>
          <w:r>
            <w:rPr>
              <w:rFonts w:eastAsia="宋体"/>
              <w:b/>
              <w:sz w:val="24"/>
            </w:rPr>
            <w:t>- 67 -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_Toc25209 </w:instrText>
          </w:r>
          <w:r>
            <w:rPr>
              <w:rFonts w:eastAsia="宋体"/>
              <w:bCs/>
              <w:sz w:val="24"/>
              <w:lang w:val="zh-CN"/>
            </w:rPr>
            <w:fldChar w:fldCharType="separate"/>
          </w:r>
          <w:r>
            <w:rPr>
              <w:rFonts w:hint="eastAsia" w:eastAsia="宋体"/>
              <w:sz w:val="24"/>
              <w:lang w:val="en-US" w:eastAsia="zh-CN"/>
            </w:rPr>
            <w:t>第一节 基础设施规划</w:t>
          </w:r>
          <w:r>
            <w:rPr>
              <w:rFonts w:eastAsia="宋体"/>
              <w:sz w:val="24"/>
            </w:rPr>
            <w:tab/>
          </w:r>
          <w:r>
            <w:rPr>
              <w:rFonts w:eastAsia="宋体"/>
              <w:sz w:val="24"/>
            </w:rPr>
            <w:fldChar w:fldCharType="begin"/>
          </w:r>
          <w:r>
            <w:rPr>
              <w:rFonts w:eastAsia="宋体"/>
              <w:sz w:val="24"/>
            </w:rPr>
            <w:instrText xml:space="preserve"> PAGEREF _Toc25209 \h </w:instrText>
          </w:r>
          <w:r>
            <w:rPr>
              <w:rFonts w:eastAsia="宋体"/>
              <w:sz w:val="24"/>
            </w:rPr>
            <w:fldChar w:fldCharType="separate"/>
          </w:r>
          <w:r>
            <w:rPr>
              <w:rFonts w:eastAsia="宋体"/>
              <w:sz w:val="24"/>
            </w:rPr>
            <w:t>- 67 -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_Toc3580 </w:instrText>
          </w:r>
          <w:r>
            <w:rPr>
              <w:rFonts w:eastAsia="宋体"/>
              <w:bCs/>
              <w:sz w:val="24"/>
              <w:lang w:val="zh-CN"/>
            </w:rPr>
            <w:fldChar w:fldCharType="separate"/>
          </w:r>
          <w:r>
            <w:rPr>
              <w:rFonts w:hint="eastAsia" w:eastAsia="宋体"/>
              <w:sz w:val="24"/>
              <w:lang w:val="en-US" w:eastAsia="zh-CN"/>
            </w:rPr>
            <w:t>第二节 服务设施规划</w:t>
          </w:r>
          <w:r>
            <w:rPr>
              <w:rFonts w:eastAsia="宋体"/>
              <w:sz w:val="24"/>
            </w:rPr>
            <w:tab/>
          </w:r>
          <w:r>
            <w:rPr>
              <w:rFonts w:eastAsia="宋体"/>
              <w:sz w:val="24"/>
            </w:rPr>
            <w:fldChar w:fldCharType="begin"/>
          </w:r>
          <w:r>
            <w:rPr>
              <w:rFonts w:eastAsia="宋体"/>
              <w:sz w:val="24"/>
            </w:rPr>
            <w:instrText xml:space="preserve"> PAGEREF _Toc3580 \h </w:instrText>
          </w:r>
          <w:r>
            <w:rPr>
              <w:rFonts w:eastAsia="宋体"/>
              <w:sz w:val="24"/>
            </w:rPr>
            <w:fldChar w:fldCharType="separate"/>
          </w:r>
          <w:r>
            <w:rPr>
              <w:rFonts w:eastAsia="宋体"/>
              <w:sz w:val="24"/>
            </w:rPr>
            <w:t>- 76 -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_Toc27133 </w:instrText>
          </w:r>
          <w:r>
            <w:rPr>
              <w:rFonts w:eastAsia="宋体"/>
              <w:b/>
              <w:bCs/>
              <w:sz w:val="24"/>
              <w:lang w:val="zh-CN"/>
            </w:rPr>
            <w:fldChar w:fldCharType="separate"/>
          </w:r>
          <w:r>
            <w:rPr>
              <w:rFonts w:hint="eastAsia" w:eastAsia="宋体" w:cs="Times New Roman"/>
              <w:b/>
              <w:bCs w:val="0"/>
              <w:i w:val="0"/>
              <w:iCs/>
              <w:kern w:val="44"/>
              <w:sz w:val="24"/>
              <w:szCs w:val="44"/>
            </w:rPr>
            <w:t>第八章 植被与森林景观规划</w:t>
          </w:r>
          <w:r>
            <w:rPr>
              <w:rFonts w:eastAsia="宋体"/>
              <w:b/>
              <w:sz w:val="24"/>
            </w:rPr>
            <w:tab/>
          </w:r>
          <w:r>
            <w:rPr>
              <w:rFonts w:eastAsia="宋体"/>
              <w:b/>
              <w:sz w:val="24"/>
            </w:rPr>
            <w:fldChar w:fldCharType="begin"/>
          </w:r>
          <w:r>
            <w:rPr>
              <w:rFonts w:eastAsia="宋体"/>
              <w:b/>
              <w:sz w:val="24"/>
            </w:rPr>
            <w:instrText xml:space="preserve"> PAGEREF _Toc27133 \h </w:instrText>
          </w:r>
          <w:r>
            <w:rPr>
              <w:rFonts w:eastAsia="宋体"/>
              <w:b/>
              <w:sz w:val="24"/>
            </w:rPr>
            <w:fldChar w:fldCharType="separate"/>
          </w:r>
          <w:r>
            <w:rPr>
              <w:rFonts w:eastAsia="宋体"/>
              <w:b/>
              <w:sz w:val="24"/>
            </w:rPr>
            <w:t>- 84 -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_Toc20493 </w:instrText>
          </w:r>
          <w:r>
            <w:rPr>
              <w:rFonts w:eastAsia="宋体"/>
              <w:bCs/>
              <w:sz w:val="24"/>
              <w:lang w:val="zh-CN"/>
            </w:rPr>
            <w:fldChar w:fldCharType="separate"/>
          </w:r>
          <w:r>
            <w:rPr>
              <w:rFonts w:hint="eastAsia" w:eastAsia="宋体"/>
              <w:sz w:val="24"/>
              <w:lang w:val="en-US" w:eastAsia="zh-CN"/>
            </w:rPr>
            <w:t>第一节  规划原则</w:t>
          </w:r>
          <w:r>
            <w:rPr>
              <w:rFonts w:eastAsia="宋体"/>
              <w:sz w:val="24"/>
            </w:rPr>
            <w:tab/>
          </w:r>
          <w:r>
            <w:rPr>
              <w:rFonts w:eastAsia="宋体"/>
              <w:sz w:val="24"/>
            </w:rPr>
            <w:fldChar w:fldCharType="begin"/>
          </w:r>
          <w:r>
            <w:rPr>
              <w:rFonts w:eastAsia="宋体"/>
              <w:sz w:val="24"/>
            </w:rPr>
            <w:instrText xml:space="preserve"> PAGEREF _Toc20493 \h </w:instrText>
          </w:r>
          <w:r>
            <w:rPr>
              <w:rFonts w:eastAsia="宋体"/>
              <w:sz w:val="24"/>
            </w:rPr>
            <w:fldChar w:fldCharType="separate"/>
          </w:r>
          <w:r>
            <w:rPr>
              <w:rFonts w:eastAsia="宋体"/>
              <w:sz w:val="24"/>
            </w:rPr>
            <w:t>- 84 -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_Toc11925 </w:instrText>
          </w:r>
          <w:r>
            <w:rPr>
              <w:rFonts w:eastAsia="宋体"/>
              <w:bCs/>
              <w:sz w:val="24"/>
              <w:lang w:val="zh-CN"/>
            </w:rPr>
            <w:fldChar w:fldCharType="separate"/>
          </w:r>
          <w:r>
            <w:rPr>
              <w:rFonts w:hint="eastAsia" w:eastAsia="宋体"/>
              <w:sz w:val="24"/>
              <w:lang w:val="en-US" w:eastAsia="zh-CN"/>
            </w:rPr>
            <w:t>第二节  植被规划</w:t>
          </w:r>
          <w:r>
            <w:rPr>
              <w:rFonts w:eastAsia="宋体"/>
              <w:sz w:val="24"/>
            </w:rPr>
            <w:tab/>
          </w:r>
          <w:r>
            <w:rPr>
              <w:rFonts w:eastAsia="宋体"/>
              <w:sz w:val="24"/>
            </w:rPr>
            <w:fldChar w:fldCharType="begin"/>
          </w:r>
          <w:r>
            <w:rPr>
              <w:rFonts w:eastAsia="宋体"/>
              <w:sz w:val="24"/>
            </w:rPr>
            <w:instrText xml:space="preserve"> PAGEREF _Toc11925 \h </w:instrText>
          </w:r>
          <w:r>
            <w:rPr>
              <w:rFonts w:eastAsia="宋体"/>
              <w:sz w:val="24"/>
            </w:rPr>
            <w:fldChar w:fldCharType="separate"/>
          </w:r>
          <w:r>
            <w:rPr>
              <w:rFonts w:eastAsia="宋体"/>
              <w:sz w:val="24"/>
            </w:rPr>
            <w:t>- 85 -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_Toc9224 </w:instrText>
          </w:r>
          <w:r>
            <w:rPr>
              <w:rFonts w:eastAsia="宋体"/>
              <w:bCs/>
              <w:sz w:val="24"/>
              <w:lang w:val="zh-CN"/>
            </w:rPr>
            <w:fldChar w:fldCharType="separate"/>
          </w:r>
          <w:r>
            <w:rPr>
              <w:rFonts w:hint="eastAsia" w:eastAsia="宋体"/>
              <w:sz w:val="24"/>
              <w:lang w:val="en-US" w:eastAsia="zh-CN"/>
            </w:rPr>
            <w:t>第三节  森林植物景观规划</w:t>
          </w:r>
          <w:r>
            <w:rPr>
              <w:rFonts w:eastAsia="宋体"/>
              <w:sz w:val="24"/>
            </w:rPr>
            <w:tab/>
          </w:r>
          <w:r>
            <w:rPr>
              <w:rFonts w:eastAsia="宋体"/>
              <w:sz w:val="24"/>
            </w:rPr>
            <w:fldChar w:fldCharType="begin"/>
          </w:r>
          <w:r>
            <w:rPr>
              <w:rFonts w:eastAsia="宋体"/>
              <w:sz w:val="24"/>
            </w:rPr>
            <w:instrText xml:space="preserve"> PAGEREF _Toc9224 \h </w:instrText>
          </w:r>
          <w:r>
            <w:rPr>
              <w:rFonts w:eastAsia="宋体"/>
              <w:sz w:val="24"/>
            </w:rPr>
            <w:fldChar w:fldCharType="separate"/>
          </w:r>
          <w:r>
            <w:rPr>
              <w:rFonts w:eastAsia="宋体"/>
              <w:sz w:val="24"/>
            </w:rPr>
            <w:t>- 87 -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_Toc1788 </w:instrText>
          </w:r>
          <w:r>
            <w:rPr>
              <w:rFonts w:eastAsia="宋体"/>
              <w:b/>
              <w:bCs/>
              <w:sz w:val="24"/>
              <w:lang w:val="zh-CN"/>
            </w:rPr>
            <w:fldChar w:fldCharType="separate"/>
          </w:r>
          <w:r>
            <w:rPr>
              <w:rFonts w:hint="eastAsia" w:eastAsia="宋体" w:cs="Times New Roman"/>
              <w:b/>
              <w:bCs w:val="0"/>
              <w:i w:val="0"/>
              <w:iCs/>
              <w:kern w:val="44"/>
              <w:sz w:val="24"/>
              <w:szCs w:val="44"/>
            </w:rPr>
            <w:t>第</w:t>
          </w:r>
          <w:r>
            <w:rPr>
              <w:rFonts w:hint="eastAsia" w:eastAsia="宋体" w:cs="Times New Roman"/>
              <w:b/>
              <w:bCs w:val="0"/>
              <w:i w:val="0"/>
              <w:iCs/>
              <w:kern w:val="44"/>
              <w:sz w:val="24"/>
              <w:szCs w:val="44"/>
              <w:lang w:val="en-US" w:eastAsia="zh-CN"/>
            </w:rPr>
            <w:t>九</w:t>
          </w:r>
          <w:r>
            <w:rPr>
              <w:rFonts w:hint="eastAsia" w:eastAsia="宋体" w:cs="Times New Roman"/>
              <w:b/>
              <w:bCs w:val="0"/>
              <w:i w:val="0"/>
              <w:iCs/>
              <w:kern w:val="44"/>
              <w:sz w:val="24"/>
              <w:szCs w:val="44"/>
            </w:rPr>
            <w:t>章 保护工程规划</w:t>
          </w:r>
          <w:r>
            <w:rPr>
              <w:rFonts w:eastAsia="宋体"/>
              <w:b/>
              <w:sz w:val="24"/>
            </w:rPr>
            <w:tab/>
          </w:r>
          <w:r>
            <w:rPr>
              <w:rFonts w:eastAsia="宋体"/>
              <w:b/>
              <w:sz w:val="24"/>
            </w:rPr>
            <w:fldChar w:fldCharType="begin"/>
          </w:r>
          <w:r>
            <w:rPr>
              <w:rFonts w:eastAsia="宋体"/>
              <w:b/>
              <w:sz w:val="24"/>
            </w:rPr>
            <w:instrText xml:space="preserve"> PAGEREF _Toc1788 \h </w:instrText>
          </w:r>
          <w:r>
            <w:rPr>
              <w:rFonts w:eastAsia="宋体"/>
              <w:b/>
              <w:sz w:val="24"/>
            </w:rPr>
            <w:fldChar w:fldCharType="separate"/>
          </w:r>
          <w:r>
            <w:rPr>
              <w:rFonts w:eastAsia="宋体"/>
              <w:b/>
              <w:sz w:val="24"/>
            </w:rPr>
            <w:t>- 90 -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_Toc28898 </w:instrText>
          </w:r>
          <w:r>
            <w:rPr>
              <w:rFonts w:eastAsia="宋体"/>
              <w:bCs/>
              <w:sz w:val="24"/>
              <w:lang w:val="zh-CN"/>
            </w:rPr>
            <w:fldChar w:fldCharType="separate"/>
          </w:r>
          <w:r>
            <w:rPr>
              <w:rFonts w:hint="eastAsia" w:eastAsia="宋体"/>
              <w:sz w:val="24"/>
              <w:lang w:val="en-US" w:eastAsia="zh-CN"/>
            </w:rPr>
            <w:t>第一节 保护目标</w:t>
          </w:r>
          <w:r>
            <w:rPr>
              <w:rFonts w:eastAsia="宋体"/>
              <w:sz w:val="24"/>
            </w:rPr>
            <w:tab/>
          </w:r>
          <w:r>
            <w:rPr>
              <w:rFonts w:eastAsia="宋体"/>
              <w:sz w:val="24"/>
            </w:rPr>
            <w:fldChar w:fldCharType="begin"/>
          </w:r>
          <w:r>
            <w:rPr>
              <w:rFonts w:eastAsia="宋体"/>
              <w:sz w:val="24"/>
            </w:rPr>
            <w:instrText xml:space="preserve"> PAGEREF _Toc28898 \h </w:instrText>
          </w:r>
          <w:r>
            <w:rPr>
              <w:rFonts w:eastAsia="宋体"/>
              <w:sz w:val="24"/>
            </w:rPr>
            <w:fldChar w:fldCharType="separate"/>
          </w:r>
          <w:r>
            <w:rPr>
              <w:rFonts w:eastAsia="宋体"/>
              <w:sz w:val="24"/>
            </w:rPr>
            <w:t>- 90 -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_Toc9435 </w:instrText>
          </w:r>
          <w:r>
            <w:rPr>
              <w:rFonts w:eastAsia="宋体"/>
              <w:bCs/>
              <w:sz w:val="24"/>
              <w:lang w:val="zh-CN"/>
            </w:rPr>
            <w:fldChar w:fldCharType="separate"/>
          </w:r>
          <w:r>
            <w:rPr>
              <w:rFonts w:hint="eastAsia" w:eastAsia="宋体"/>
              <w:sz w:val="24"/>
              <w:lang w:val="en-US" w:eastAsia="zh-CN"/>
            </w:rPr>
            <w:t>第二节 保护原则</w:t>
          </w:r>
          <w:r>
            <w:rPr>
              <w:rFonts w:eastAsia="宋体"/>
              <w:sz w:val="24"/>
            </w:rPr>
            <w:tab/>
          </w:r>
          <w:r>
            <w:rPr>
              <w:rFonts w:eastAsia="宋体"/>
              <w:sz w:val="24"/>
            </w:rPr>
            <w:fldChar w:fldCharType="begin"/>
          </w:r>
          <w:r>
            <w:rPr>
              <w:rFonts w:eastAsia="宋体"/>
              <w:sz w:val="24"/>
            </w:rPr>
            <w:instrText xml:space="preserve"> PAGEREF _Toc9435 \h </w:instrText>
          </w:r>
          <w:r>
            <w:rPr>
              <w:rFonts w:eastAsia="宋体"/>
              <w:sz w:val="24"/>
            </w:rPr>
            <w:fldChar w:fldCharType="separate"/>
          </w:r>
          <w:r>
            <w:rPr>
              <w:rFonts w:eastAsia="宋体"/>
              <w:sz w:val="24"/>
            </w:rPr>
            <w:t>- 90 -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_Toc30240 </w:instrText>
          </w:r>
          <w:r>
            <w:rPr>
              <w:rFonts w:eastAsia="宋体"/>
              <w:bCs/>
              <w:sz w:val="24"/>
              <w:lang w:val="zh-CN"/>
            </w:rPr>
            <w:fldChar w:fldCharType="separate"/>
          </w:r>
          <w:r>
            <w:rPr>
              <w:rFonts w:hint="eastAsia" w:eastAsia="宋体"/>
              <w:sz w:val="24"/>
              <w:lang w:val="en-US" w:eastAsia="zh-CN"/>
            </w:rPr>
            <w:t>第三节 保护等级及类型区划分</w:t>
          </w:r>
          <w:r>
            <w:rPr>
              <w:rFonts w:eastAsia="宋体"/>
              <w:sz w:val="24"/>
            </w:rPr>
            <w:tab/>
          </w:r>
          <w:r>
            <w:rPr>
              <w:rFonts w:eastAsia="宋体"/>
              <w:sz w:val="24"/>
            </w:rPr>
            <w:fldChar w:fldCharType="begin"/>
          </w:r>
          <w:r>
            <w:rPr>
              <w:rFonts w:eastAsia="宋体"/>
              <w:sz w:val="24"/>
            </w:rPr>
            <w:instrText xml:space="preserve"> PAGEREF _Toc30240 \h </w:instrText>
          </w:r>
          <w:r>
            <w:rPr>
              <w:rFonts w:eastAsia="宋体"/>
              <w:sz w:val="24"/>
            </w:rPr>
            <w:fldChar w:fldCharType="separate"/>
          </w:r>
          <w:r>
            <w:rPr>
              <w:rFonts w:eastAsia="宋体"/>
              <w:sz w:val="24"/>
            </w:rPr>
            <w:t>- 92 -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_Toc13363 </w:instrText>
          </w:r>
          <w:r>
            <w:rPr>
              <w:rFonts w:eastAsia="宋体"/>
              <w:bCs/>
              <w:sz w:val="24"/>
              <w:lang w:val="zh-CN"/>
            </w:rPr>
            <w:fldChar w:fldCharType="separate"/>
          </w:r>
          <w:r>
            <w:rPr>
              <w:rFonts w:hint="eastAsia" w:eastAsia="宋体"/>
              <w:sz w:val="24"/>
              <w:lang w:val="en-US" w:eastAsia="zh-CN"/>
            </w:rPr>
            <w:t>第四节 保护措施</w:t>
          </w:r>
          <w:r>
            <w:rPr>
              <w:rFonts w:eastAsia="宋体"/>
              <w:sz w:val="24"/>
            </w:rPr>
            <w:tab/>
          </w:r>
          <w:r>
            <w:rPr>
              <w:rFonts w:eastAsia="宋体"/>
              <w:sz w:val="24"/>
            </w:rPr>
            <w:fldChar w:fldCharType="begin"/>
          </w:r>
          <w:r>
            <w:rPr>
              <w:rFonts w:eastAsia="宋体"/>
              <w:sz w:val="24"/>
            </w:rPr>
            <w:instrText xml:space="preserve"> PAGEREF _Toc13363 \h </w:instrText>
          </w:r>
          <w:r>
            <w:rPr>
              <w:rFonts w:eastAsia="宋体"/>
              <w:sz w:val="24"/>
            </w:rPr>
            <w:fldChar w:fldCharType="separate"/>
          </w:r>
          <w:r>
            <w:rPr>
              <w:rFonts w:eastAsia="宋体"/>
              <w:sz w:val="24"/>
            </w:rPr>
            <w:t>- 93 -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sz w:val="24"/>
            </w:rPr>
          </w:pPr>
          <w:r>
            <w:rPr>
              <w:rFonts w:eastAsia="宋体"/>
              <w:b/>
              <w:bCs/>
              <w:sz w:val="24"/>
              <w:lang w:val="zh-CN"/>
            </w:rPr>
            <w:fldChar w:fldCharType="begin"/>
          </w:r>
          <w:r>
            <w:rPr>
              <w:rFonts w:eastAsia="宋体"/>
              <w:b/>
              <w:bCs/>
              <w:sz w:val="24"/>
              <w:lang w:val="zh-CN"/>
            </w:rPr>
            <w:instrText xml:space="preserve"> HYPERLINK \l _Toc14343 </w:instrText>
          </w:r>
          <w:r>
            <w:rPr>
              <w:rFonts w:eastAsia="宋体"/>
              <w:b/>
              <w:bCs/>
              <w:sz w:val="24"/>
              <w:lang w:val="zh-CN"/>
            </w:rPr>
            <w:fldChar w:fldCharType="separate"/>
          </w:r>
          <w:r>
            <w:rPr>
              <w:rFonts w:hint="eastAsia" w:eastAsia="宋体" w:cs="Times New Roman"/>
              <w:b/>
              <w:bCs w:val="0"/>
              <w:i w:val="0"/>
              <w:iCs/>
              <w:kern w:val="44"/>
              <w:sz w:val="24"/>
              <w:szCs w:val="44"/>
            </w:rPr>
            <w:t>第</w:t>
          </w:r>
          <w:r>
            <w:rPr>
              <w:rFonts w:hint="eastAsia" w:eastAsia="宋体" w:cs="Times New Roman"/>
              <w:b/>
              <w:bCs w:val="0"/>
              <w:i w:val="0"/>
              <w:iCs/>
              <w:kern w:val="44"/>
              <w:sz w:val="24"/>
              <w:szCs w:val="44"/>
              <w:lang w:val="en-US" w:eastAsia="zh-CN"/>
            </w:rPr>
            <w:t>十</w:t>
          </w:r>
          <w:r>
            <w:rPr>
              <w:rFonts w:hint="eastAsia" w:eastAsia="宋体" w:cs="Times New Roman"/>
              <w:b/>
              <w:bCs w:val="0"/>
              <w:i w:val="0"/>
              <w:iCs/>
              <w:kern w:val="44"/>
              <w:sz w:val="24"/>
              <w:szCs w:val="44"/>
            </w:rPr>
            <w:t>章 旅游营销策划</w:t>
          </w:r>
          <w:r>
            <w:rPr>
              <w:rFonts w:eastAsia="宋体"/>
              <w:b/>
              <w:sz w:val="24"/>
            </w:rPr>
            <w:tab/>
          </w:r>
          <w:r>
            <w:rPr>
              <w:rFonts w:eastAsia="宋体"/>
              <w:b/>
              <w:sz w:val="24"/>
            </w:rPr>
            <w:fldChar w:fldCharType="begin"/>
          </w:r>
          <w:r>
            <w:rPr>
              <w:rFonts w:eastAsia="宋体"/>
              <w:b/>
              <w:sz w:val="24"/>
            </w:rPr>
            <w:instrText xml:space="preserve"> PAGEREF _Toc14343 \h </w:instrText>
          </w:r>
          <w:r>
            <w:rPr>
              <w:rFonts w:eastAsia="宋体"/>
              <w:b/>
              <w:sz w:val="24"/>
            </w:rPr>
            <w:fldChar w:fldCharType="separate"/>
          </w:r>
          <w:r>
            <w:rPr>
              <w:rFonts w:eastAsia="宋体"/>
              <w:b/>
              <w:sz w:val="24"/>
            </w:rPr>
            <w:t>- 102 -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_Toc14165 </w:instrText>
          </w:r>
          <w:r>
            <w:rPr>
              <w:rFonts w:eastAsia="宋体"/>
              <w:bCs/>
              <w:sz w:val="24"/>
              <w:lang w:val="zh-CN"/>
            </w:rPr>
            <w:fldChar w:fldCharType="separate"/>
          </w:r>
          <w:r>
            <w:rPr>
              <w:rFonts w:hint="eastAsia" w:eastAsia="宋体"/>
              <w:sz w:val="24"/>
              <w:lang w:val="en-US" w:eastAsia="zh-CN"/>
            </w:rPr>
            <w:t>第一节 策划理念</w:t>
          </w:r>
          <w:r>
            <w:rPr>
              <w:rFonts w:eastAsia="宋体"/>
              <w:sz w:val="24"/>
            </w:rPr>
            <w:tab/>
          </w:r>
          <w:r>
            <w:rPr>
              <w:rFonts w:eastAsia="宋体"/>
              <w:sz w:val="24"/>
            </w:rPr>
            <w:fldChar w:fldCharType="begin"/>
          </w:r>
          <w:r>
            <w:rPr>
              <w:rFonts w:eastAsia="宋体"/>
              <w:sz w:val="24"/>
            </w:rPr>
            <w:instrText xml:space="preserve"> PAGEREF _Toc14165 \h </w:instrText>
          </w:r>
          <w:r>
            <w:rPr>
              <w:rFonts w:eastAsia="宋体"/>
              <w:sz w:val="24"/>
            </w:rPr>
            <w:fldChar w:fldCharType="separate"/>
          </w:r>
          <w:r>
            <w:rPr>
              <w:rFonts w:eastAsia="宋体"/>
              <w:sz w:val="24"/>
            </w:rPr>
            <w:t>- 102 -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_Toc2620 </w:instrText>
          </w:r>
          <w:r>
            <w:rPr>
              <w:rFonts w:eastAsia="宋体"/>
              <w:bCs/>
              <w:sz w:val="24"/>
              <w:lang w:val="zh-CN"/>
            </w:rPr>
            <w:fldChar w:fldCharType="separate"/>
          </w:r>
          <w:r>
            <w:rPr>
              <w:rFonts w:hint="eastAsia" w:eastAsia="宋体"/>
              <w:sz w:val="24"/>
              <w:lang w:val="en-US" w:eastAsia="zh-CN"/>
            </w:rPr>
            <w:t>第二节 游憩项目规划</w:t>
          </w:r>
          <w:r>
            <w:rPr>
              <w:rFonts w:eastAsia="宋体"/>
              <w:sz w:val="24"/>
            </w:rPr>
            <w:tab/>
          </w:r>
          <w:r>
            <w:rPr>
              <w:rFonts w:eastAsia="宋体"/>
              <w:sz w:val="24"/>
            </w:rPr>
            <w:fldChar w:fldCharType="begin"/>
          </w:r>
          <w:r>
            <w:rPr>
              <w:rFonts w:eastAsia="宋体"/>
              <w:sz w:val="24"/>
            </w:rPr>
            <w:instrText xml:space="preserve"> PAGEREF _Toc2620 \h </w:instrText>
          </w:r>
          <w:r>
            <w:rPr>
              <w:rFonts w:eastAsia="宋体"/>
              <w:sz w:val="24"/>
            </w:rPr>
            <w:fldChar w:fldCharType="separate"/>
          </w:r>
          <w:r>
            <w:rPr>
              <w:rFonts w:eastAsia="宋体"/>
              <w:sz w:val="24"/>
            </w:rPr>
            <w:t>- 103 -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_Toc2950 </w:instrText>
          </w:r>
          <w:r>
            <w:rPr>
              <w:rFonts w:eastAsia="宋体"/>
              <w:bCs/>
              <w:sz w:val="24"/>
              <w:lang w:val="zh-CN"/>
            </w:rPr>
            <w:fldChar w:fldCharType="separate"/>
          </w:r>
          <w:r>
            <w:rPr>
              <w:rFonts w:hint="eastAsia" w:eastAsia="宋体"/>
              <w:sz w:val="24"/>
              <w:lang w:val="en-US" w:eastAsia="zh-CN"/>
            </w:rPr>
            <w:t>第三节 市场策划</w:t>
          </w:r>
          <w:r>
            <w:rPr>
              <w:rFonts w:eastAsia="宋体"/>
              <w:sz w:val="24"/>
            </w:rPr>
            <w:tab/>
          </w:r>
          <w:r>
            <w:rPr>
              <w:rFonts w:eastAsia="宋体"/>
              <w:sz w:val="24"/>
            </w:rPr>
            <w:fldChar w:fldCharType="begin"/>
          </w:r>
          <w:r>
            <w:rPr>
              <w:rFonts w:eastAsia="宋体"/>
              <w:sz w:val="24"/>
            </w:rPr>
            <w:instrText xml:space="preserve"> PAGEREF _Toc2950 \h </w:instrText>
          </w:r>
          <w:r>
            <w:rPr>
              <w:rFonts w:eastAsia="宋体"/>
              <w:sz w:val="24"/>
            </w:rPr>
            <w:fldChar w:fldCharType="separate"/>
          </w:r>
          <w:r>
            <w:rPr>
              <w:rFonts w:eastAsia="宋体"/>
              <w:sz w:val="24"/>
            </w:rPr>
            <w:t>- 105 -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_Toc5209 </w:instrText>
          </w:r>
          <w:r>
            <w:rPr>
              <w:rFonts w:eastAsia="宋体"/>
              <w:bCs/>
              <w:sz w:val="24"/>
              <w:lang w:val="zh-CN"/>
            </w:rPr>
            <w:fldChar w:fldCharType="separate"/>
          </w:r>
          <w:r>
            <w:rPr>
              <w:rFonts w:hint="eastAsia" w:eastAsia="宋体"/>
              <w:sz w:val="24"/>
              <w:lang w:val="en-US" w:eastAsia="zh-CN"/>
            </w:rPr>
            <w:t>第四节 营销措施</w:t>
          </w:r>
          <w:r>
            <w:rPr>
              <w:rFonts w:eastAsia="宋体"/>
              <w:sz w:val="24"/>
            </w:rPr>
            <w:tab/>
          </w:r>
          <w:r>
            <w:rPr>
              <w:rFonts w:eastAsia="宋体"/>
              <w:sz w:val="24"/>
            </w:rPr>
            <w:fldChar w:fldCharType="begin"/>
          </w:r>
          <w:r>
            <w:rPr>
              <w:rFonts w:eastAsia="宋体"/>
              <w:sz w:val="24"/>
            </w:rPr>
            <w:instrText xml:space="preserve"> PAGEREF _Toc5209 \h </w:instrText>
          </w:r>
          <w:r>
            <w:rPr>
              <w:rFonts w:eastAsia="宋体"/>
              <w:sz w:val="24"/>
            </w:rPr>
            <w:fldChar w:fldCharType="separate"/>
          </w:r>
          <w:r>
            <w:rPr>
              <w:rFonts w:eastAsia="宋体"/>
              <w:sz w:val="24"/>
            </w:rPr>
            <w:t>- 106 -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sz w:val="24"/>
            </w:rPr>
          </w:pPr>
          <w:r>
            <w:rPr>
              <w:rFonts w:eastAsia="宋体"/>
              <w:b/>
              <w:bCs/>
              <w:sz w:val="24"/>
              <w:lang w:val="zh-CN"/>
            </w:rPr>
            <w:fldChar w:fldCharType="begin"/>
          </w:r>
          <w:r>
            <w:rPr>
              <w:rFonts w:eastAsia="宋体"/>
              <w:b/>
              <w:bCs/>
              <w:sz w:val="24"/>
              <w:lang w:val="zh-CN"/>
            </w:rPr>
            <w:instrText xml:space="preserve"> HYPERLINK \l _Toc9143 </w:instrText>
          </w:r>
          <w:r>
            <w:rPr>
              <w:rFonts w:eastAsia="宋体"/>
              <w:b/>
              <w:bCs/>
              <w:sz w:val="24"/>
              <w:lang w:val="zh-CN"/>
            </w:rPr>
            <w:fldChar w:fldCharType="separate"/>
          </w:r>
          <w:r>
            <w:rPr>
              <w:rFonts w:hint="eastAsia" w:eastAsia="宋体" w:cs="Times New Roman"/>
              <w:b/>
              <w:bCs w:val="0"/>
              <w:i w:val="0"/>
              <w:iCs/>
              <w:kern w:val="44"/>
              <w:sz w:val="24"/>
              <w:szCs w:val="44"/>
            </w:rPr>
            <w:t>第十</w:t>
          </w:r>
          <w:r>
            <w:rPr>
              <w:rFonts w:hint="eastAsia" w:eastAsia="宋体" w:cs="Times New Roman"/>
              <w:b/>
              <w:bCs w:val="0"/>
              <w:i w:val="0"/>
              <w:iCs/>
              <w:kern w:val="44"/>
              <w:sz w:val="24"/>
              <w:szCs w:val="44"/>
              <w:lang w:val="en-US" w:eastAsia="zh-CN"/>
            </w:rPr>
            <w:t>一</w:t>
          </w:r>
          <w:r>
            <w:rPr>
              <w:rFonts w:hint="eastAsia" w:eastAsia="宋体" w:cs="Times New Roman"/>
              <w:b/>
              <w:bCs w:val="0"/>
              <w:i w:val="0"/>
              <w:iCs/>
              <w:kern w:val="44"/>
              <w:sz w:val="24"/>
              <w:szCs w:val="44"/>
            </w:rPr>
            <w:t>章 保障体系建设</w:t>
          </w:r>
          <w:r>
            <w:rPr>
              <w:rFonts w:eastAsia="宋体"/>
              <w:b/>
              <w:sz w:val="24"/>
            </w:rPr>
            <w:tab/>
          </w:r>
          <w:r>
            <w:rPr>
              <w:rFonts w:eastAsia="宋体"/>
              <w:b/>
              <w:sz w:val="24"/>
            </w:rPr>
            <w:fldChar w:fldCharType="begin"/>
          </w:r>
          <w:r>
            <w:rPr>
              <w:rFonts w:eastAsia="宋体"/>
              <w:b/>
              <w:sz w:val="24"/>
            </w:rPr>
            <w:instrText xml:space="preserve"> PAGEREF _Toc9143 \h </w:instrText>
          </w:r>
          <w:r>
            <w:rPr>
              <w:rFonts w:eastAsia="宋体"/>
              <w:b/>
              <w:sz w:val="24"/>
            </w:rPr>
            <w:fldChar w:fldCharType="separate"/>
          </w:r>
          <w:r>
            <w:rPr>
              <w:rFonts w:eastAsia="宋体"/>
              <w:b/>
              <w:sz w:val="24"/>
            </w:rPr>
            <w:t>- 110 -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_Toc18508 </w:instrText>
          </w:r>
          <w:r>
            <w:rPr>
              <w:rFonts w:eastAsia="宋体"/>
              <w:bCs/>
              <w:sz w:val="24"/>
              <w:lang w:val="zh-CN"/>
            </w:rPr>
            <w:fldChar w:fldCharType="separate"/>
          </w:r>
          <w:r>
            <w:rPr>
              <w:rFonts w:hint="eastAsia" w:eastAsia="宋体"/>
              <w:sz w:val="24"/>
              <w:lang w:val="en-US" w:eastAsia="zh-CN"/>
            </w:rPr>
            <w:t>第一节 保障体系与管理机构</w:t>
          </w:r>
          <w:r>
            <w:rPr>
              <w:rFonts w:eastAsia="宋体"/>
              <w:sz w:val="24"/>
            </w:rPr>
            <w:tab/>
          </w:r>
          <w:r>
            <w:rPr>
              <w:rFonts w:eastAsia="宋体"/>
              <w:sz w:val="24"/>
            </w:rPr>
            <w:fldChar w:fldCharType="begin"/>
          </w:r>
          <w:r>
            <w:rPr>
              <w:rFonts w:eastAsia="宋体"/>
              <w:sz w:val="24"/>
            </w:rPr>
            <w:instrText xml:space="preserve"> PAGEREF _Toc18508 \h </w:instrText>
          </w:r>
          <w:r>
            <w:rPr>
              <w:rFonts w:eastAsia="宋体"/>
              <w:sz w:val="24"/>
            </w:rPr>
            <w:fldChar w:fldCharType="separate"/>
          </w:r>
          <w:r>
            <w:rPr>
              <w:rFonts w:eastAsia="宋体"/>
              <w:sz w:val="24"/>
            </w:rPr>
            <w:t>- 110 -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_Toc12788 </w:instrText>
          </w:r>
          <w:r>
            <w:rPr>
              <w:rFonts w:eastAsia="宋体"/>
              <w:bCs/>
              <w:sz w:val="24"/>
              <w:lang w:val="zh-CN"/>
            </w:rPr>
            <w:fldChar w:fldCharType="separate"/>
          </w:r>
          <w:r>
            <w:rPr>
              <w:rFonts w:hint="eastAsia" w:eastAsia="宋体"/>
              <w:sz w:val="24"/>
              <w:lang w:val="en-US" w:eastAsia="zh-CN"/>
            </w:rPr>
            <w:t>第二节 人员编制</w:t>
          </w:r>
          <w:r>
            <w:rPr>
              <w:rFonts w:eastAsia="宋体"/>
              <w:sz w:val="24"/>
            </w:rPr>
            <w:tab/>
          </w:r>
          <w:r>
            <w:rPr>
              <w:rFonts w:eastAsia="宋体"/>
              <w:sz w:val="24"/>
            </w:rPr>
            <w:fldChar w:fldCharType="begin"/>
          </w:r>
          <w:r>
            <w:rPr>
              <w:rFonts w:eastAsia="宋体"/>
              <w:sz w:val="24"/>
            </w:rPr>
            <w:instrText xml:space="preserve"> PAGEREF _Toc12788 \h </w:instrText>
          </w:r>
          <w:r>
            <w:rPr>
              <w:rFonts w:eastAsia="宋体"/>
              <w:sz w:val="24"/>
            </w:rPr>
            <w:fldChar w:fldCharType="separate"/>
          </w:r>
          <w:r>
            <w:rPr>
              <w:rFonts w:eastAsia="宋体"/>
              <w:sz w:val="24"/>
            </w:rPr>
            <w:t>- 111 -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
              <w:bCs/>
              <w:sz w:val="24"/>
              <w:lang w:val="zh-CN"/>
            </w:rPr>
            <w:fldChar w:fldCharType="begin"/>
          </w:r>
          <w:r>
            <w:rPr>
              <w:rFonts w:eastAsia="宋体"/>
              <w:b/>
              <w:bCs/>
              <w:sz w:val="24"/>
              <w:lang w:val="zh-CN"/>
            </w:rPr>
            <w:instrText xml:space="preserve"> HYPERLINK \l _Toc16498 </w:instrText>
          </w:r>
          <w:r>
            <w:rPr>
              <w:rFonts w:eastAsia="宋体"/>
              <w:b/>
              <w:bCs/>
              <w:sz w:val="24"/>
              <w:lang w:val="zh-CN"/>
            </w:rPr>
            <w:fldChar w:fldCharType="separate"/>
          </w:r>
          <w:r>
            <w:rPr>
              <w:rFonts w:hint="eastAsia" w:eastAsia="宋体" w:cs="Times New Roman"/>
              <w:b/>
              <w:bCs w:val="0"/>
              <w:i w:val="0"/>
              <w:iCs/>
              <w:kern w:val="44"/>
              <w:sz w:val="24"/>
              <w:szCs w:val="44"/>
            </w:rPr>
            <w:t>第十</w:t>
          </w:r>
          <w:r>
            <w:rPr>
              <w:rFonts w:hint="eastAsia" w:eastAsia="宋体" w:cs="Times New Roman"/>
              <w:b/>
              <w:bCs w:val="0"/>
              <w:i w:val="0"/>
              <w:iCs/>
              <w:kern w:val="44"/>
              <w:sz w:val="24"/>
              <w:szCs w:val="44"/>
              <w:lang w:val="en-US" w:eastAsia="zh-CN"/>
            </w:rPr>
            <w:t>二</w:t>
          </w:r>
          <w:r>
            <w:rPr>
              <w:rFonts w:hint="eastAsia" w:eastAsia="宋体" w:cs="Times New Roman"/>
              <w:b/>
              <w:bCs w:val="0"/>
              <w:i w:val="0"/>
              <w:iCs/>
              <w:kern w:val="44"/>
              <w:sz w:val="24"/>
              <w:szCs w:val="44"/>
            </w:rPr>
            <w:t>章 投资估算与效益分析</w:t>
          </w:r>
          <w:r>
            <w:rPr>
              <w:rFonts w:eastAsia="宋体"/>
              <w:b/>
              <w:sz w:val="24"/>
            </w:rPr>
            <w:tab/>
          </w:r>
          <w:r>
            <w:rPr>
              <w:rFonts w:eastAsia="宋体"/>
              <w:b/>
              <w:sz w:val="24"/>
            </w:rPr>
            <w:fldChar w:fldCharType="begin"/>
          </w:r>
          <w:r>
            <w:rPr>
              <w:rFonts w:eastAsia="宋体"/>
              <w:b/>
              <w:sz w:val="24"/>
            </w:rPr>
            <w:instrText xml:space="preserve"> PAGEREF _Toc16498 \h </w:instrText>
          </w:r>
          <w:r>
            <w:rPr>
              <w:rFonts w:eastAsia="宋体"/>
              <w:b/>
              <w:sz w:val="24"/>
            </w:rPr>
            <w:fldChar w:fldCharType="separate"/>
          </w:r>
          <w:r>
            <w:rPr>
              <w:rFonts w:eastAsia="宋体"/>
              <w:b/>
              <w:sz w:val="24"/>
            </w:rPr>
            <w:t>- 114 -</w:t>
          </w:r>
          <w:r>
            <w:rPr>
              <w:rFonts w:eastAsia="宋体"/>
              <w:b/>
              <w:sz w:val="24"/>
            </w:rPr>
            <w:fldChar w:fldCharType="end"/>
          </w:r>
          <w:r>
            <w:rPr>
              <w:rFonts w:eastAsia="宋体"/>
              <w:b/>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_Toc32135 </w:instrText>
          </w:r>
          <w:r>
            <w:rPr>
              <w:rFonts w:eastAsia="宋体"/>
              <w:bCs/>
              <w:sz w:val="24"/>
              <w:lang w:val="zh-CN"/>
            </w:rPr>
            <w:fldChar w:fldCharType="separate"/>
          </w:r>
          <w:r>
            <w:rPr>
              <w:rFonts w:hint="eastAsia" w:eastAsia="宋体"/>
              <w:sz w:val="24"/>
              <w:lang w:val="en-US" w:eastAsia="zh-CN"/>
            </w:rPr>
            <w:t>第一节 估算依据</w:t>
          </w:r>
          <w:r>
            <w:rPr>
              <w:rFonts w:eastAsia="宋体"/>
              <w:sz w:val="24"/>
            </w:rPr>
            <w:tab/>
          </w:r>
          <w:r>
            <w:rPr>
              <w:rFonts w:eastAsia="宋体"/>
              <w:sz w:val="24"/>
            </w:rPr>
            <w:fldChar w:fldCharType="begin"/>
          </w:r>
          <w:r>
            <w:rPr>
              <w:rFonts w:eastAsia="宋体"/>
              <w:sz w:val="24"/>
            </w:rPr>
            <w:instrText xml:space="preserve"> PAGEREF _Toc32135 \h </w:instrText>
          </w:r>
          <w:r>
            <w:rPr>
              <w:rFonts w:eastAsia="宋体"/>
              <w:sz w:val="24"/>
            </w:rPr>
            <w:fldChar w:fldCharType="separate"/>
          </w:r>
          <w:r>
            <w:rPr>
              <w:rFonts w:eastAsia="宋体"/>
              <w:sz w:val="24"/>
            </w:rPr>
            <w:t>- 114 -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_Toc27599 </w:instrText>
          </w:r>
          <w:r>
            <w:rPr>
              <w:rFonts w:eastAsia="宋体"/>
              <w:bCs/>
              <w:sz w:val="24"/>
              <w:lang w:val="zh-CN"/>
            </w:rPr>
            <w:fldChar w:fldCharType="separate"/>
          </w:r>
          <w:r>
            <w:rPr>
              <w:rFonts w:hint="eastAsia" w:eastAsia="宋体"/>
              <w:sz w:val="24"/>
              <w:lang w:val="en-US" w:eastAsia="zh-CN"/>
            </w:rPr>
            <w:t>第二节 投资估算</w:t>
          </w:r>
          <w:r>
            <w:rPr>
              <w:rFonts w:eastAsia="宋体"/>
              <w:sz w:val="24"/>
            </w:rPr>
            <w:tab/>
          </w:r>
          <w:r>
            <w:rPr>
              <w:rFonts w:eastAsia="宋体"/>
              <w:sz w:val="24"/>
            </w:rPr>
            <w:fldChar w:fldCharType="begin"/>
          </w:r>
          <w:r>
            <w:rPr>
              <w:rFonts w:eastAsia="宋体"/>
              <w:sz w:val="24"/>
            </w:rPr>
            <w:instrText xml:space="preserve"> PAGEREF _Toc27599 \h </w:instrText>
          </w:r>
          <w:r>
            <w:rPr>
              <w:rFonts w:eastAsia="宋体"/>
              <w:sz w:val="24"/>
            </w:rPr>
            <w:fldChar w:fldCharType="separate"/>
          </w:r>
          <w:r>
            <w:rPr>
              <w:rFonts w:eastAsia="宋体"/>
              <w:sz w:val="24"/>
            </w:rPr>
            <w:t>- 114 -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_Toc21205 </w:instrText>
          </w:r>
          <w:r>
            <w:rPr>
              <w:rFonts w:eastAsia="宋体"/>
              <w:bCs/>
              <w:sz w:val="24"/>
              <w:lang w:val="zh-CN"/>
            </w:rPr>
            <w:fldChar w:fldCharType="separate"/>
          </w:r>
          <w:r>
            <w:rPr>
              <w:rFonts w:hint="eastAsia" w:eastAsia="宋体"/>
              <w:sz w:val="24"/>
              <w:lang w:val="en-US" w:eastAsia="zh-CN"/>
            </w:rPr>
            <w:t>第三节 资金筹措</w:t>
          </w:r>
          <w:r>
            <w:rPr>
              <w:rFonts w:eastAsia="宋体"/>
              <w:sz w:val="24"/>
            </w:rPr>
            <w:tab/>
          </w:r>
          <w:r>
            <w:rPr>
              <w:rFonts w:eastAsia="宋体"/>
              <w:sz w:val="24"/>
            </w:rPr>
            <w:fldChar w:fldCharType="begin"/>
          </w:r>
          <w:r>
            <w:rPr>
              <w:rFonts w:eastAsia="宋体"/>
              <w:sz w:val="24"/>
            </w:rPr>
            <w:instrText xml:space="preserve"> PAGEREF _Toc21205 \h </w:instrText>
          </w:r>
          <w:r>
            <w:rPr>
              <w:rFonts w:eastAsia="宋体"/>
              <w:sz w:val="24"/>
            </w:rPr>
            <w:fldChar w:fldCharType="separate"/>
          </w:r>
          <w:r>
            <w:rPr>
              <w:rFonts w:eastAsia="宋体"/>
              <w:sz w:val="24"/>
            </w:rPr>
            <w:t>- 116 -</w:t>
          </w:r>
          <w:r>
            <w:rPr>
              <w:rFonts w:eastAsia="宋体"/>
              <w:sz w:val="24"/>
            </w:rPr>
            <w:fldChar w:fldCharType="end"/>
          </w:r>
          <w:r>
            <w:rPr>
              <w:rFonts w:eastAsia="宋体"/>
              <w:bCs/>
              <w:sz w:val="24"/>
              <w:lang w:val="zh-CN"/>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sz w:val="24"/>
            </w:rPr>
          </w:pPr>
          <w:r>
            <w:rPr>
              <w:rFonts w:eastAsia="宋体"/>
              <w:bCs/>
              <w:sz w:val="24"/>
              <w:lang w:val="zh-CN"/>
            </w:rPr>
            <w:fldChar w:fldCharType="begin"/>
          </w:r>
          <w:r>
            <w:rPr>
              <w:rFonts w:eastAsia="宋体"/>
              <w:bCs/>
              <w:sz w:val="24"/>
              <w:lang w:val="zh-CN"/>
            </w:rPr>
            <w:instrText xml:space="preserve"> HYPERLINK \l _Toc24792 </w:instrText>
          </w:r>
          <w:r>
            <w:rPr>
              <w:rFonts w:eastAsia="宋体"/>
              <w:bCs/>
              <w:sz w:val="24"/>
              <w:lang w:val="zh-CN"/>
            </w:rPr>
            <w:fldChar w:fldCharType="separate"/>
          </w:r>
          <w:r>
            <w:rPr>
              <w:rFonts w:hint="eastAsia" w:eastAsia="宋体"/>
              <w:sz w:val="24"/>
              <w:lang w:val="en-US" w:eastAsia="zh-CN"/>
            </w:rPr>
            <w:t>第四节 效益分析</w:t>
          </w:r>
          <w:r>
            <w:rPr>
              <w:rFonts w:eastAsia="宋体"/>
              <w:sz w:val="24"/>
            </w:rPr>
            <w:tab/>
          </w:r>
          <w:r>
            <w:rPr>
              <w:rFonts w:eastAsia="宋体"/>
              <w:sz w:val="24"/>
            </w:rPr>
            <w:fldChar w:fldCharType="begin"/>
          </w:r>
          <w:r>
            <w:rPr>
              <w:rFonts w:eastAsia="宋体"/>
              <w:sz w:val="24"/>
            </w:rPr>
            <w:instrText xml:space="preserve"> PAGEREF _Toc24792 \h </w:instrText>
          </w:r>
          <w:r>
            <w:rPr>
              <w:rFonts w:eastAsia="宋体"/>
              <w:sz w:val="24"/>
            </w:rPr>
            <w:fldChar w:fldCharType="separate"/>
          </w:r>
          <w:r>
            <w:rPr>
              <w:rFonts w:eastAsia="宋体"/>
              <w:sz w:val="24"/>
            </w:rPr>
            <w:t>- 118 -</w:t>
          </w:r>
          <w:r>
            <w:rPr>
              <w:rFonts w:eastAsia="宋体"/>
              <w:sz w:val="24"/>
            </w:rPr>
            <w:fldChar w:fldCharType="end"/>
          </w:r>
          <w:r>
            <w:rPr>
              <w:rFonts w:eastAsia="宋体"/>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val="0"/>
              <w:bCs/>
              <w:sz w:val="24"/>
            </w:rPr>
          </w:pPr>
          <w:r>
            <w:rPr>
              <w:rFonts w:eastAsia="宋体"/>
              <w:b w:val="0"/>
              <w:bCs/>
              <w:sz w:val="24"/>
              <w:lang w:val="zh-CN"/>
            </w:rPr>
            <w:fldChar w:fldCharType="begin"/>
          </w:r>
          <w:r>
            <w:rPr>
              <w:rFonts w:eastAsia="宋体"/>
              <w:b w:val="0"/>
              <w:bCs/>
              <w:sz w:val="24"/>
              <w:lang w:val="zh-CN"/>
            </w:rPr>
            <w:instrText xml:space="preserve"> HYPERLINK \l _Toc9088 </w:instrText>
          </w:r>
          <w:r>
            <w:rPr>
              <w:rFonts w:eastAsia="宋体"/>
              <w:b w:val="0"/>
              <w:bCs/>
              <w:sz w:val="24"/>
              <w:lang w:val="zh-CN"/>
            </w:rPr>
            <w:fldChar w:fldCharType="separate"/>
          </w:r>
          <w:r>
            <w:rPr>
              <w:rFonts w:hint="eastAsia" w:eastAsia="宋体" w:cs="Times New Roman"/>
              <w:b w:val="0"/>
              <w:bCs/>
              <w:i w:val="0"/>
              <w:iCs/>
              <w:kern w:val="44"/>
              <w:sz w:val="24"/>
              <w:szCs w:val="44"/>
              <w:lang w:val="en-US" w:eastAsia="zh-CN"/>
            </w:rPr>
            <w:t>附表 台前县西凤省级森林公园投资估算总表</w:t>
          </w:r>
          <w:r>
            <w:rPr>
              <w:rFonts w:eastAsia="宋体"/>
              <w:b w:val="0"/>
              <w:bCs/>
              <w:sz w:val="24"/>
            </w:rPr>
            <w:tab/>
          </w:r>
          <w:r>
            <w:rPr>
              <w:rFonts w:eastAsia="宋体"/>
              <w:b w:val="0"/>
              <w:bCs/>
              <w:sz w:val="24"/>
            </w:rPr>
            <w:fldChar w:fldCharType="begin"/>
          </w:r>
          <w:r>
            <w:rPr>
              <w:rFonts w:eastAsia="宋体"/>
              <w:b w:val="0"/>
              <w:bCs/>
              <w:sz w:val="24"/>
            </w:rPr>
            <w:instrText xml:space="preserve"> PAGEREF _Toc9088 \h </w:instrText>
          </w:r>
          <w:r>
            <w:rPr>
              <w:rFonts w:eastAsia="宋体"/>
              <w:b w:val="0"/>
              <w:bCs/>
              <w:sz w:val="24"/>
            </w:rPr>
            <w:fldChar w:fldCharType="separate"/>
          </w:r>
          <w:r>
            <w:rPr>
              <w:rFonts w:eastAsia="宋体"/>
              <w:b w:val="0"/>
              <w:bCs/>
              <w:sz w:val="24"/>
            </w:rPr>
            <w:t>- 123 -</w:t>
          </w:r>
          <w:r>
            <w:rPr>
              <w:rFonts w:eastAsia="宋体"/>
              <w:b w:val="0"/>
              <w:bCs/>
              <w:sz w:val="24"/>
            </w:rPr>
            <w:fldChar w:fldCharType="end"/>
          </w:r>
          <w:r>
            <w:rPr>
              <w:rFonts w:eastAsia="宋体"/>
              <w:b w:val="0"/>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val="0"/>
              <w:bCs/>
              <w:sz w:val="24"/>
            </w:rPr>
          </w:pPr>
          <w:r>
            <w:rPr>
              <w:rFonts w:eastAsia="宋体"/>
              <w:b w:val="0"/>
              <w:bCs/>
              <w:sz w:val="24"/>
              <w:lang w:val="zh-CN"/>
            </w:rPr>
            <w:fldChar w:fldCharType="begin"/>
          </w:r>
          <w:r>
            <w:rPr>
              <w:rFonts w:eastAsia="宋体"/>
              <w:b w:val="0"/>
              <w:bCs/>
              <w:sz w:val="24"/>
              <w:lang w:val="zh-CN"/>
            </w:rPr>
            <w:instrText xml:space="preserve"> HYPERLINK \l _Toc13217 </w:instrText>
          </w:r>
          <w:r>
            <w:rPr>
              <w:rFonts w:eastAsia="宋体"/>
              <w:b w:val="0"/>
              <w:bCs/>
              <w:sz w:val="24"/>
              <w:lang w:val="zh-CN"/>
            </w:rPr>
            <w:fldChar w:fldCharType="separate"/>
          </w:r>
          <w:r>
            <w:rPr>
              <w:rFonts w:hint="eastAsia" w:eastAsia="宋体" w:cs="Times New Roman"/>
              <w:b w:val="0"/>
              <w:bCs/>
              <w:i w:val="0"/>
              <w:iCs/>
              <w:kern w:val="44"/>
              <w:sz w:val="24"/>
              <w:szCs w:val="44"/>
              <w:lang w:val="en-US" w:eastAsia="zh-CN"/>
            </w:rPr>
            <w:t>附录</w:t>
          </w:r>
          <w:r>
            <w:rPr>
              <w:rFonts w:hint="eastAsia" w:ascii="黑体" w:hAnsi="黑体" w:eastAsia="宋体" w:cs="黑体"/>
              <w:b w:val="0"/>
              <w:bCs/>
              <w:i w:val="0"/>
              <w:iCs/>
              <w:kern w:val="44"/>
              <w:sz w:val="24"/>
              <w:szCs w:val="44"/>
              <w:lang w:val="en-US" w:eastAsia="zh-CN"/>
            </w:rPr>
            <w:t>1 台前县西凤省级森林公园植物名录</w:t>
          </w:r>
          <w:r>
            <w:rPr>
              <w:rFonts w:eastAsia="宋体"/>
              <w:b w:val="0"/>
              <w:bCs/>
              <w:sz w:val="24"/>
            </w:rPr>
            <w:tab/>
          </w:r>
          <w:r>
            <w:rPr>
              <w:rFonts w:eastAsia="宋体"/>
              <w:b w:val="0"/>
              <w:bCs/>
              <w:sz w:val="24"/>
            </w:rPr>
            <w:fldChar w:fldCharType="begin"/>
          </w:r>
          <w:r>
            <w:rPr>
              <w:rFonts w:eastAsia="宋体"/>
              <w:b w:val="0"/>
              <w:bCs/>
              <w:sz w:val="24"/>
            </w:rPr>
            <w:instrText xml:space="preserve"> PAGEREF _Toc13217 \h </w:instrText>
          </w:r>
          <w:r>
            <w:rPr>
              <w:rFonts w:eastAsia="宋体"/>
              <w:b w:val="0"/>
              <w:bCs/>
              <w:sz w:val="24"/>
            </w:rPr>
            <w:fldChar w:fldCharType="separate"/>
          </w:r>
          <w:r>
            <w:rPr>
              <w:rFonts w:eastAsia="宋体"/>
              <w:b w:val="0"/>
              <w:bCs/>
              <w:sz w:val="24"/>
            </w:rPr>
            <w:t>- 127 -</w:t>
          </w:r>
          <w:r>
            <w:rPr>
              <w:rFonts w:eastAsia="宋体"/>
              <w:b w:val="0"/>
              <w:bCs/>
              <w:sz w:val="24"/>
            </w:rPr>
            <w:fldChar w:fldCharType="end"/>
          </w:r>
          <w:r>
            <w:rPr>
              <w:rFonts w:eastAsia="宋体"/>
              <w:b w:val="0"/>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rFonts w:eastAsia="宋体"/>
              <w:b w:val="0"/>
              <w:bCs/>
              <w:sz w:val="24"/>
            </w:rPr>
          </w:pPr>
          <w:r>
            <w:rPr>
              <w:rFonts w:eastAsia="宋体"/>
              <w:b w:val="0"/>
              <w:bCs/>
              <w:sz w:val="24"/>
              <w:lang w:val="zh-CN"/>
            </w:rPr>
            <w:fldChar w:fldCharType="begin"/>
          </w:r>
          <w:r>
            <w:rPr>
              <w:rFonts w:eastAsia="宋体"/>
              <w:b w:val="0"/>
              <w:bCs/>
              <w:sz w:val="24"/>
              <w:lang w:val="zh-CN"/>
            </w:rPr>
            <w:instrText xml:space="preserve"> HYPERLINK \l _Toc24671 </w:instrText>
          </w:r>
          <w:r>
            <w:rPr>
              <w:rFonts w:eastAsia="宋体"/>
              <w:b w:val="0"/>
              <w:bCs/>
              <w:sz w:val="24"/>
              <w:lang w:val="zh-CN"/>
            </w:rPr>
            <w:fldChar w:fldCharType="separate"/>
          </w:r>
          <w:r>
            <w:rPr>
              <w:rFonts w:hint="eastAsia" w:eastAsia="宋体" w:cs="Times New Roman"/>
              <w:b w:val="0"/>
              <w:bCs/>
              <w:i w:val="0"/>
              <w:iCs/>
              <w:kern w:val="44"/>
              <w:sz w:val="24"/>
              <w:szCs w:val="44"/>
              <w:lang w:val="en-US" w:eastAsia="zh-CN"/>
            </w:rPr>
            <w:t>附录</w:t>
          </w:r>
          <w:r>
            <w:rPr>
              <w:rFonts w:hint="eastAsia" w:ascii="黑体" w:hAnsi="黑体" w:eastAsia="宋体" w:cs="黑体"/>
              <w:b w:val="0"/>
              <w:bCs/>
              <w:i w:val="0"/>
              <w:iCs/>
              <w:kern w:val="44"/>
              <w:sz w:val="24"/>
              <w:szCs w:val="44"/>
              <w:lang w:val="en-US" w:eastAsia="zh-CN"/>
            </w:rPr>
            <w:t>2 台前县西凤省级森林公园主要鸟类名录</w:t>
          </w:r>
          <w:r>
            <w:rPr>
              <w:rFonts w:eastAsia="宋体"/>
              <w:b w:val="0"/>
              <w:bCs/>
              <w:sz w:val="24"/>
            </w:rPr>
            <w:tab/>
          </w:r>
          <w:r>
            <w:rPr>
              <w:rFonts w:eastAsia="宋体"/>
              <w:b w:val="0"/>
              <w:bCs/>
              <w:sz w:val="24"/>
            </w:rPr>
            <w:fldChar w:fldCharType="begin"/>
          </w:r>
          <w:r>
            <w:rPr>
              <w:rFonts w:eastAsia="宋体"/>
              <w:b w:val="0"/>
              <w:bCs/>
              <w:sz w:val="24"/>
            </w:rPr>
            <w:instrText xml:space="preserve"> PAGEREF _Toc24671 \h </w:instrText>
          </w:r>
          <w:r>
            <w:rPr>
              <w:rFonts w:eastAsia="宋体"/>
              <w:b w:val="0"/>
              <w:bCs/>
              <w:sz w:val="24"/>
            </w:rPr>
            <w:fldChar w:fldCharType="separate"/>
          </w:r>
          <w:r>
            <w:rPr>
              <w:rFonts w:eastAsia="宋体"/>
              <w:b w:val="0"/>
              <w:bCs/>
              <w:sz w:val="24"/>
            </w:rPr>
            <w:t>- 133 -</w:t>
          </w:r>
          <w:r>
            <w:rPr>
              <w:rFonts w:eastAsia="宋体"/>
              <w:b w:val="0"/>
              <w:bCs/>
              <w:sz w:val="24"/>
            </w:rPr>
            <w:fldChar w:fldCharType="end"/>
          </w:r>
          <w:r>
            <w:rPr>
              <w:rFonts w:eastAsia="宋体"/>
              <w:b w:val="0"/>
              <w:bCs/>
              <w:sz w:val="24"/>
              <w:lang w:val="zh-CN"/>
            </w:rPr>
            <w:fldChar w:fldCharType="end"/>
          </w:r>
        </w:p>
        <w:p>
          <w:pPr>
            <w:pStyle w:val="9"/>
            <w:keepNext w:val="0"/>
            <w:keepLines w:val="0"/>
            <w:pageBreakBefore w:val="0"/>
            <w:widowControl w:val="0"/>
            <w:tabs>
              <w:tab w:val="right" w:leader="dot" w:pos="8306"/>
              <w:tab w:val="clear" w:pos="8296"/>
            </w:tabs>
            <w:kinsoku/>
            <w:wordWrap/>
            <w:overflowPunct/>
            <w:topLinePunct w:val="0"/>
            <w:autoSpaceDE/>
            <w:autoSpaceDN/>
            <w:bidi w:val="0"/>
            <w:adjustRightInd w:val="0"/>
            <w:snapToGrid w:val="0"/>
            <w:spacing w:line="360" w:lineRule="auto"/>
            <w:textAlignment w:val="auto"/>
            <w:rPr>
              <w:b w:val="0"/>
              <w:bCs/>
            </w:rPr>
          </w:pPr>
          <w:r>
            <w:rPr>
              <w:rFonts w:eastAsia="宋体"/>
              <w:b w:val="0"/>
              <w:bCs/>
              <w:sz w:val="24"/>
              <w:lang w:val="zh-CN"/>
            </w:rPr>
            <w:fldChar w:fldCharType="begin"/>
          </w:r>
          <w:r>
            <w:rPr>
              <w:rFonts w:eastAsia="宋体"/>
              <w:b w:val="0"/>
              <w:bCs/>
              <w:sz w:val="24"/>
              <w:lang w:val="zh-CN"/>
            </w:rPr>
            <w:instrText xml:space="preserve"> HYPERLINK \l _Toc21107 </w:instrText>
          </w:r>
          <w:r>
            <w:rPr>
              <w:rFonts w:eastAsia="宋体"/>
              <w:b w:val="0"/>
              <w:bCs/>
              <w:sz w:val="24"/>
              <w:lang w:val="zh-CN"/>
            </w:rPr>
            <w:fldChar w:fldCharType="separate"/>
          </w:r>
          <w:r>
            <w:rPr>
              <w:rFonts w:hint="eastAsia" w:eastAsia="宋体" w:cs="Times New Roman"/>
              <w:b w:val="0"/>
              <w:bCs/>
              <w:i w:val="0"/>
              <w:iCs/>
              <w:kern w:val="44"/>
              <w:sz w:val="24"/>
              <w:szCs w:val="44"/>
              <w:lang w:val="en-US" w:eastAsia="zh-CN"/>
            </w:rPr>
            <w:t>附录</w:t>
          </w:r>
          <w:r>
            <w:rPr>
              <w:rFonts w:hint="eastAsia" w:ascii="黑体" w:hAnsi="黑体" w:eastAsia="宋体" w:cs="黑体"/>
              <w:b w:val="0"/>
              <w:bCs/>
              <w:i w:val="0"/>
              <w:iCs/>
              <w:kern w:val="44"/>
              <w:sz w:val="24"/>
              <w:szCs w:val="44"/>
              <w:lang w:val="en-US" w:eastAsia="zh-CN"/>
            </w:rPr>
            <w:t xml:space="preserve">3 </w:t>
          </w:r>
          <w:r>
            <w:rPr>
              <w:rFonts w:hint="eastAsia" w:eastAsia="宋体" w:cs="Times New Roman"/>
              <w:b w:val="0"/>
              <w:bCs/>
              <w:i w:val="0"/>
              <w:iCs/>
              <w:kern w:val="44"/>
              <w:sz w:val="24"/>
              <w:szCs w:val="44"/>
              <w:lang w:val="en-US" w:eastAsia="zh-CN"/>
            </w:rPr>
            <w:t>台前县西凤省级森林公园主要鱼类名录</w:t>
          </w:r>
          <w:r>
            <w:rPr>
              <w:rFonts w:eastAsia="宋体"/>
              <w:b w:val="0"/>
              <w:bCs/>
              <w:sz w:val="24"/>
            </w:rPr>
            <w:tab/>
          </w:r>
          <w:r>
            <w:rPr>
              <w:rFonts w:eastAsia="宋体"/>
              <w:b w:val="0"/>
              <w:bCs/>
              <w:sz w:val="24"/>
            </w:rPr>
            <w:fldChar w:fldCharType="begin"/>
          </w:r>
          <w:r>
            <w:rPr>
              <w:rFonts w:eastAsia="宋体"/>
              <w:b w:val="0"/>
              <w:bCs/>
              <w:sz w:val="24"/>
            </w:rPr>
            <w:instrText xml:space="preserve"> PAGEREF _Toc21107 \h </w:instrText>
          </w:r>
          <w:r>
            <w:rPr>
              <w:rFonts w:eastAsia="宋体"/>
              <w:b w:val="0"/>
              <w:bCs/>
              <w:sz w:val="24"/>
            </w:rPr>
            <w:fldChar w:fldCharType="separate"/>
          </w:r>
          <w:r>
            <w:rPr>
              <w:rFonts w:eastAsia="宋体"/>
              <w:b w:val="0"/>
              <w:bCs/>
              <w:sz w:val="24"/>
            </w:rPr>
            <w:t>- 137 -</w:t>
          </w:r>
          <w:r>
            <w:rPr>
              <w:rFonts w:eastAsia="宋体"/>
              <w:b w:val="0"/>
              <w:bCs/>
              <w:sz w:val="24"/>
            </w:rPr>
            <w:fldChar w:fldCharType="end"/>
          </w:r>
          <w:r>
            <w:rPr>
              <w:rFonts w:eastAsia="宋体"/>
              <w:b w:val="0"/>
              <w:bCs/>
              <w:sz w:val="24"/>
              <w:lang w:val="zh-CN"/>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rPr>
          </w:pPr>
          <w:r>
            <w:rPr>
              <w:bCs/>
              <w:lang w:val="zh-CN"/>
            </w:rPr>
            <w:fldChar w:fldCharType="end"/>
          </w:r>
          <w:r>
            <w:rPr>
              <w:rFonts w:hint="eastAsia" w:eastAsia="宋体"/>
              <w:b w:val="0"/>
              <w:bCs w:val="0"/>
              <w:sz w:val="24"/>
              <w:lang w:val="en-US" w:eastAsia="zh-CN"/>
            </w:rPr>
            <w:t>附图：</w:t>
          </w:r>
        </w:p>
      </w:sdtContent>
    </w:sdt>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01.</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区位分析图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02.</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公园范围图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03.</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森林资源现状图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04.</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功能分区图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05.</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总体布局图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06.</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客源市场分析图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bCs/>
          <w:sz w:val="24"/>
          <w:szCs w:val="24"/>
          <w:lang w:val="en-US" w:eastAsia="zh-CN"/>
        </w:rPr>
        <w:t>07.</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游览路线图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bCs/>
          <w:sz w:val="24"/>
          <w:szCs w:val="24"/>
          <w:lang w:val="en-US" w:eastAsia="zh-CN"/>
        </w:rPr>
        <w:t>08.</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给排水规划图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09.</w:t>
      </w:r>
      <w:r>
        <w:rPr>
          <w:rFonts w:hint="eastAsia" w:eastAsia="宋体" w:cs="Times New Roman"/>
          <w:b w:val="0"/>
          <w:bCs/>
          <w:sz w:val="24"/>
          <w:szCs w:val="24"/>
          <w:lang w:val="en-US" w:eastAsia="zh-CN"/>
        </w:rPr>
        <w:t xml:space="preserve"> </w:t>
      </w: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供电规划图</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道路系统规划图</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服务设施规划图</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植物景观规划图</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i w:val="0"/>
          <w:iCs/>
          <w:kern w:val="44"/>
          <w:sz w:val="24"/>
          <w:szCs w:val="24"/>
          <w:lang w:val="en-US" w:eastAsia="zh-CN"/>
        </w:rPr>
        <w:t>台前县西凤省级森林公园总体规划—</w:t>
      </w:r>
      <w:r>
        <w:rPr>
          <w:rFonts w:hint="default" w:ascii="Times New Roman" w:hAnsi="Times New Roman" w:eastAsia="宋体" w:cs="Times New Roman"/>
          <w:b w:val="0"/>
          <w:bCs/>
          <w:sz w:val="24"/>
          <w:szCs w:val="24"/>
          <w:lang w:val="en-US" w:eastAsia="zh-CN"/>
        </w:rPr>
        <w:t>保护工程图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val="0"/>
          <w:bCs/>
          <w:sz w:val="24"/>
          <w:szCs w:val="24"/>
          <w:lang w:val="en-US" w:eastAsia="zh-CN"/>
        </w:rPr>
      </w:pPr>
    </w:p>
    <w:p>
      <w:pPr>
        <w:widowControl/>
        <w:adjustRightInd/>
        <w:snapToGrid/>
        <w:spacing w:line="240" w:lineRule="auto"/>
        <w:ind w:firstLine="0" w:firstLineChars="0"/>
        <w:jc w:val="left"/>
      </w:pPr>
    </w:p>
    <w:p>
      <w:pPr>
        <w:widowControl/>
        <w:adjustRightInd/>
        <w:snapToGrid/>
        <w:spacing w:line="240" w:lineRule="auto"/>
        <w:ind w:firstLine="0" w:firstLineChars="0"/>
        <w:jc w:val="left"/>
      </w:pPr>
    </w:p>
    <w:p>
      <w:pPr>
        <w:widowControl/>
        <w:adjustRightInd/>
        <w:snapToGrid/>
        <w:spacing w:line="240" w:lineRule="auto"/>
        <w:ind w:firstLine="0" w:firstLineChars="0"/>
        <w:jc w:val="left"/>
      </w:pPr>
    </w:p>
    <w:p>
      <w:pPr>
        <w:widowControl/>
        <w:adjustRightInd/>
        <w:snapToGrid/>
        <w:spacing w:line="240" w:lineRule="auto"/>
        <w:ind w:firstLine="0" w:firstLineChars="0"/>
        <w:jc w:val="left"/>
      </w:pPr>
    </w:p>
    <w:p>
      <w:pPr>
        <w:widowControl/>
        <w:adjustRightInd/>
        <w:snapToGrid/>
        <w:spacing w:line="240" w:lineRule="auto"/>
        <w:ind w:firstLine="0" w:firstLineChars="0"/>
        <w:jc w:val="left"/>
        <w:sectPr>
          <w:headerReference r:id="rId11" w:type="default"/>
          <w:footerReference r:id="rId12" w:type="default"/>
          <w:pgSz w:w="11906" w:h="16838"/>
          <w:pgMar w:top="1440" w:right="1800" w:bottom="1440" w:left="1800" w:header="851" w:footer="992" w:gutter="0"/>
          <w:pgNumType w:fmt="numberInDash" w:start="1"/>
          <w:cols w:space="425" w:num="1"/>
          <w:docGrid w:type="lines" w:linePitch="312" w:charSpace="0"/>
        </w:sectPr>
      </w:pPr>
    </w:p>
    <w:p>
      <w:pPr>
        <w:pStyle w:val="2"/>
        <w:adjustRightInd/>
        <w:snapToGrid/>
        <w:spacing w:before="160" w:after="160" w:line="578" w:lineRule="auto"/>
        <w:ind w:firstLine="0" w:firstLineChars="0"/>
        <w:rPr>
          <w:rFonts w:hint="eastAsia" w:cs="Times New Roman" w:eastAsiaTheme="minorEastAsia"/>
          <w:b/>
          <w:bCs/>
          <w:szCs w:val="44"/>
        </w:rPr>
      </w:pPr>
      <w:bookmarkStart w:id="13" w:name="_Toc13059"/>
      <w:bookmarkStart w:id="14" w:name="_Toc69069210"/>
      <w:r>
        <w:rPr>
          <w:rFonts w:hint="eastAsia" w:cs="Times New Roman" w:eastAsiaTheme="minorEastAsia"/>
          <w:b/>
          <w:bCs/>
          <w:szCs w:val="44"/>
        </w:rPr>
        <w:t>前  言</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cs="Times New Roman" w:eastAsiaTheme="minorEastAsia"/>
        </w:rPr>
      </w:pPr>
      <w:r>
        <w:rPr>
          <w:rFonts w:hint="eastAsia" w:cs="Times New Roman" w:eastAsiaTheme="minorEastAsia"/>
        </w:rPr>
        <w:t>建设生态文明是关系人民福祉、关乎民族未来的大计，是实现中华民族伟大复兴的中国梦的重要内容。十九大报告中明确提出“建设生态文明是中华民族永续发展的千年大计。必须树立和践行绿水青山就是金山银山的理念，像对待生命一样对待生态环境，统筹山水林田湖草系统治理，实行最严格的生态环境保护制度，形成绿色发展方式和生活方式，坚定走生产发展、生活富裕、生态良好的文明发展道路，建设美丽中国，为人民创造良好生产生活环境，为全球生态安全作出贡献。” 森林公园是森林优质生态产品的重要提供者和体验平台，是满足人民日益增长的优美生态环境需要的重要物质基础，是保护自然资源、开展生态科普宣传、弘扬生态文明的重要场所，也是人和自然协调发展的示范场所，随着国家对生态文明建设的越来越重视，森林公园</w:t>
      </w:r>
      <w:r>
        <w:rPr>
          <w:rFonts w:hint="eastAsia" w:cs="Times New Roman" w:eastAsiaTheme="minorEastAsia"/>
          <w:lang w:eastAsia="zh-CN"/>
        </w:rPr>
        <w:t>迎来</w:t>
      </w:r>
      <w:r>
        <w:rPr>
          <w:rFonts w:hint="eastAsia" w:cs="Times New Roman" w:eastAsiaTheme="minorEastAsia"/>
        </w:rPr>
        <w:t>来前所未有的发展良机。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cs="Times New Roman" w:eastAsiaTheme="minorEastAsia"/>
          <w:lang w:val="en-US" w:eastAsia="zh-CN"/>
        </w:rPr>
      </w:pPr>
      <w:r>
        <w:rPr>
          <w:rFonts w:hint="eastAsia" w:cs="Times New Roman" w:eastAsiaTheme="minorEastAsia"/>
        </w:rPr>
        <w:t>河南省人民政府于201</w:t>
      </w:r>
      <w:r>
        <w:rPr>
          <w:rFonts w:hint="eastAsia" w:cs="Times New Roman" w:eastAsiaTheme="minorEastAsia"/>
          <w:lang w:val="en-US" w:eastAsia="zh-CN"/>
        </w:rPr>
        <w:t>8</w:t>
      </w:r>
      <w:r>
        <w:rPr>
          <w:rFonts w:hint="eastAsia" w:cs="Times New Roman" w:eastAsiaTheme="minorEastAsia"/>
        </w:rPr>
        <w:t>年</w:t>
      </w:r>
      <w:r>
        <w:rPr>
          <w:rFonts w:hint="eastAsia" w:cs="Times New Roman" w:eastAsiaTheme="minorEastAsia"/>
          <w:lang w:val="en-US" w:eastAsia="zh-CN"/>
        </w:rPr>
        <w:t>9</w:t>
      </w:r>
      <w:r>
        <w:rPr>
          <w:rFonts w:hint="eastAsia" w:cs="Times New Roman" w:eastAsiaTheme="minorEastAsia"/>
        </w:rPr>
        <w:t>月</w:t>
      </w:r>
      <w:r>
        <w:rPr>
          <w:rFonts w:hint="eastAsia" w:cs="Times New Roman" w:eastAsiaTheme="minorEastAsia"/>
          <w:lang w:val="en-US" w:eastAsia="zh-CN"/>
        </w:rPr>
        <w:t>21</w:t>
      </w:r>
      <w:r>
        <w:rPr>
          <w:rFonts w:hint="eastAsia" w:cs="Times New Roman" w:eastAsiaTheme="minorEastAsia"/>
        </w:rPr>
        <w:t>日</w:t>
      </w:r>
      <w:r>
        <w:rPr>
          <w:rFonts w:hint="eastAsia" w:cs="Times New Roman" w:eastAsiaTheme="minorEastAsia"/>
          <w:lang w:val="en-US" w:eastAsia="zh-CN"/>
        </w:rPr>
        <w:t>发布</w:t>
      </w:r>
      <w:r>
        <w:rPr>
          <w:rFonts w:hint="eastAsia" w:cs="Times New Roman" w:eastAsiaTheme="minorEastAsia"/>
        </w:rPr>
        <w:t>《关于印发森林河南生态建设规划</w:t>
      </w:r>
      <w:r>
        <w:rPr>
          <w:rFonts w:hint="eastAsia" w:cs="Times New Roman" w:eastAsiaTheme="minorEastAsia"/>
          <w:lang w:eastAsia="zh-CN"/>
        </w:rPr>
        <w:t>（</w:t>
      </w:r>
      <w:r>
        <w:rPr>
          <w:rFonts w:hint="eastAsia" w:cs="Times New Roman" w:eastAsiaTheme="minorEastAsia"/>
        </w:rPr>
        <w:t>2018—2027年</w:t>
      </w:r>
      <w:r>
        <w:rPr>
          <w:rFonts w:hint="eastAsia" w:cs="Times New Roman" w:eastAsiaTheme="minorEastAsia"/>
          <w:lang w:eastAsia="zh-CN"/>
        </w:rPr>
        <w:t>）</w:t>
      </w:r>
      <w:r>
        <w:rPr>
          <w:rFonts w:hint="eastAsia" w:cs="Times New Roman" w:eastAsiaTheme="minorEastAsia"/>
        </w:rPr>
        <w:t>的通知》（豫政〔2018〕28号）中指出：“在保护现有森林资源的基础上</w:t>
      </w:r>
      <w:r>
        <w:rPr>
          <w:rFonts w:hint="eastAsia" w:cs="Times New Roman" w:eastAsiaTheme="minorEastAsia"/>
          <w:lang w:eastAsia="zh-CN"/>
        </w:rPr>
        <w:t>，</w:t>
      </w:r>
      <w:r>
        <w:rPr>
          <w:rFonts w:hint="eastAsia" w:cs="Times New Roman" w:eastAsiaTheme="minorEastAsia"/>
        </w:rPr>
        <w:t>加大国土绿化力度</w:t>
      </w:r>
      <w:r>
        <w:rPr>
          <w:rFonts w:hint="eastAsia" w:cs="Times New Roman" w:eastAsiaTheme="minorEastAsia"/>
          <w:lang w:eastAsia="zh-CN"/>
        </w:rPr>
        <w:t>，</w:t>
      </w:r>
      <w:r>
        <w:rPr>
          <w:rFonts w:hint="eastAsia" w:cs="Times New Roman" w:eastAsiaTheme="minorEastAsia"/>
        </w:rPr>
        <w:t>努力增加绿量</w:t>
      </w:r>
      <w:r>
        <w:rPr>
          <w:rFonts w:hint="eastAsia" w:cs="Times New Roman" w:eastAsiaTheme="minorEastAsia"/>
          <w:lang w:eastAsia="zh-CN"/>
        </w:rPr>
        <w:t>，</w:t>
      </w:r>
      <w:r>
        <w:rPr>
          <w:rFonts w:hint="eastAsia" w:cs="Times New Roman" w:eastAsiaTheme="minorEastAsia"/>
        </w:rPr>
        <w:t>优化树种、林分、林种结构</w:t>
      </w:r>
      <w:r>
        <w:rPr>
          <w:rFonts w:hint="eastAsia" w:cs="Times New Roman" w:eastAsiaTheme="minorEastAsia"/>
          <w:lang w:eastAsia="zh-CN"/>
        </w:rPr>
        <w:t>，</w:t>
      </w:r>
      <w:r>
        <w:rPr>
          <w:rFonts w:hint="eastAsia" w:cs="Times New Roman" w:eastAsiaTheme="minorEastAsia"/>
        </w:rPr>
        <w:t>积极营造异龄、混交、复层、近自然的多功能森林</w:t>
      </w:r>
      <w:r>
        <w:rPr>
          <w:rFonts w:hint="eastAsia" w:cs="Times New Roman" w:eastAsiaTheme="minorEastAsia"/>
          <w:lang w:eastAsia="zh-CN"/>
        </w:rPr>
        <w:t>，</w:t>
      </w:r>
      <w:r>
        <w:rPr>
          <w:rFonts w:hint="eastAsia" w:cs="Times New Roman" w:eastAsiaTheme="minorEastAsia"/>
        </w:rPr>
        <w:t>提升森林质量。加强濒危野生动植物和生物多样性保护</w:t>
      </w:r>
      <w:r>
        <w:rPr>
          <w:rFonts w:hint="eastAsia" w:cs="Times New Roman" w:eastAsiaTheme="minorEastAsia"/>
          <w:lang w:eastAsia="zh-CN"/>
        </w:rPr>
        <w:t>，</w:t>
      </w:r>
      <w:r>
        <w:rPr>
          <w:rFonts w:hint="eastAsia" w:cs="Times New Roman" w:eastAsiaTheme="minorEastAsia"/>
        </w:rPr>
        <w:t>强化自然保护区、森林公园和森林旅游</w:t>
      </w:r>
      <w:r>
        <w:rPr>
          <w:rFonts w:hint="eastAsia" w:cs="Times New Roman" w:eastAsiaTheme="minorEastAsia"/>
          <w:lang w:eastAsia="zh-CN"/>
        </w:rPr>
        <w:t>、</w:t>
      </w:r>
      <w:r>
        <w:rPr>
          <w:rFonts w:hint="eastAsia" w:cs="Times New Roman" w:eastAsiaTheme="minorEastAsia"/>
        </w:rPr>
        <w:t>森林康养基地建设</w:t>
      </w:r>
      <w:r>
        <w:rPr>
          <w:rFonts w:hint="eastAsia" w:cs="Times New Roman" w:eastAsiaTheme="minorEastAsia"/>
          <w:lang w:eastAsia="zh-CN"/>
        </w:rPr>
        <w:t>，</w:t>
      </w:r>
      <w:r>
        <w:rPr>
          <w:rFonts w:hint="eastAsia" w:cs="Times New Roman" w:eastAsiaTheme="minorEastAsia"/>
        </w:rPr>
        <w:t>全面提升森林生态系统服务功能。”</w:t>
      </w:r>
      <w:r>
        <w:rPr>
          <w:rFonts w:hint="eastAsia" w:cs="Times New Roman" w:eastAsiaTheme="minorEastAsia"/>
          <w:lang w:val="en-US" w:eastAsia="zh-CN"/>
        </w:rPr>
        <w:t>西凤省级</w:t>
      </w:r>
      <w:r>
        <w:rPr>
          <w:rFonts w:hint="eastAsia" w:cs="Times New Roman" w:eastAsiaTheme="minorEastAsia"/>
        </w:rPr>
        <w:t>森林公园</w:t>
      </w:r>
      <w:r>
        <w:rPr>
          <w:rFonts w:hint="eastAsia" w:cs="Times New Roman" w:eastAsiaTheme="minorEastAsia"/>
          <w:lang w:val="en-US" w:eastAsia="zh-CN"/>
        </w:rPr>
        <w:t>的规划建设</w:t>
      </w:r>
      <w:r>
        <w:rPr>
          <w:rFonts w:hint="eastAsia" w:cs="Times New Roman" w:eastAsiaTheme="minorEastAsia"/>
        </w:rPr>
        <w:t>正好符合相关要求。</w:t>
      </w:r>
      <w:r>
        <w:rPr>
          <w:rFonts w:hint="eastAsia" w:cs="Times New Roman" w:eastAsiaTheme="minorEastAsia"/>
          <w:lang w:val="en-US" w:eastAsia="zh-CN"/>
        </w:rPr>
        <w:t>濮阳市林业局、台前县自然资源局非常重视西凤省级森林公园的规划建设，委托东华（安徽）生态规划院有限公司进行编制《台前县西凤省级</w:t>
      </w:r>
      <w:r>
        <w:rPr>
          <w:rFonts w:hint="eastAsia" w:cs="Times New Roman" w:eastAsiaTheme="minorEastAsia"/>
        </w:rPr>
        <w:t>森林公园</w:t>
      </w:r>
      <w:r>
        <w:rPr>
          <w:rFonts w:hint="eastAsia" w:cs="Times New Roman" w:eastAsiaTheme="minorEastAsia"/>
          <w:lang w:val="en-US" w:eastAsia="zh-CN"/>
        </w:rPr>
        <w:t>总体规划》（以下简称《规划》）。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eastAsiaTheme="minorEastAsia"/>
        </w:rPr>
      </w:pPr>
      <w:r>
        <w:rPr>
          <w:rFonts w:hint="eastAsia" w:cs="Times New Roman" w:eastAsiaTheme="minorEastAsia"/>
          <w:lang w:val="en-US" w:eastAsia="zh-CN"/>
        </w:rPr>
        <w:t>东华（安徽）生态规划院成立了编制项目组，项目组通过实地调查、走访、无人机航拍等多种方式对西风省级</w:t>
      </w:r>
      <w:r>
        <w:rPr>
          <w:rFonts w:hint="eastAsia" w:cs="Times New Roman" w:eastAsiaTheme="minorEastAsia"/>
        </w:rPr>
        <w:t>森林公园</w:t>
      </w:r>
      <w:r>
        <w:rPr>
          <w:rFonts w:hint="eastAsia" w:cs="Times New Roman" w:eastAsiaTheme="minorEastAsia"/>
          <w:lang w:val="en-US" w:eastAsia="zh-CN"/>
        </w:rPr>
        <w:t>进行了深入调查，同时广泛征求了各方意见。西风省级</w:t>
      </w:r>
      <w:r>
        <w:rPr>
          <w:rFonts w:hint="eastAsia" w:cs="Times New Roman" w:eastAsiaTheme="minorEastAsia"/>
        </w:rPr>
        <w:t>森林公园生态环境优良、文化底蕴深厚、森林景观优美，适合开展多种森林旅游活动。</w:t>
      </w:r>
      <w:r>
        <w:rPr>
          <w:rFonts w:hint="eastAsia" w:cs="Times New Roman" w:eastAsiaTheme="minorEastAsia"/>
          <w:lang w:val="en-US" w:eastAsia="zh-CN"/>
        </w:rPr>
        <w:t>《规划》旨</w:t>
      </w:r>
      <w:r>
        <w:rPr>
          <w:rFonts w:hint="eastAsia" w:cs="Times New Roman" w:eastAsiaTheme="minorEastAsia"/>
        </w:rPr>
        <w:t>在加强生态保护的前提下，科学合理地进行开发建设，进一步强化公园的森林生态屏障功能</w:t>
      </w:r>
      <w:r>
        <w:rPr>
          <w:rFonts w:hint="eastAsia" w:cs="Times New Roman" w:eastAsiaTheme="minorEastAsia"/>
          <w:lang w:eastAsia="zh-CN"/>
        </w:rPr>
        <w:t>。</w:t>
      </w:r>
      <w:r>
        <w:rPr>
          <w:rFonts w:hint="eastAsia" w:cs="Times New Roman" w:eastAsiaTheme="minorEastAsia"/>
        </w:rPr>
        <w:t>《规划》</w:t>
      </w:r>
      <w:r>
        <w:rPr>
          <w:rFonts w:hint="eastAsia" w:cs="Times New Roman" w:eastAsiaTheme="minorEastAsia"/>
          <w:lang w:val="en-US" w:eastAsia="zh-CN"/>
        </w:rPr>
        <w:t>以期</w:t>
      </w:r>
      <w:r>
        <w:rPr>
          <w:rFonts w:hint="eastAsia" w:cs="Times New Roman" w:eastAsiaTheme="minorEastAsia"/>
          <w:lang w:eastAsia="zh-CN"/>
        </w:rPr>
        <w:t>为西凤省级森林公园的建设发展</w:t>
      </w:r>
      <w:r>
        <w:rPr>
          <w:rFonts w:hint="eastAsia" w:cs="Times New Roman" w:eastAsiaTheme="minorEastAsia"/>
          <w:lang w:val="en-US" w:eastAsia="zh-CN"/>
        </w:rPr>
        <w:t>提供科学蓝图，</w:t>
      </w:r>
      <w:r>
        <w:rPr>
          <w:rFonts w:hint="eastAsia" w:cs="Times New Roman" w:eastAsiaTheme="minorEastAsia"/>
        </w:rPr>
        <w:t>拓展当地的生态旅游空间，优化乡村人居环境</w:t>
      </w:r>
      <w:r>
        <w:rPr>
          <w:rFonts w:hint="eastAsia" w:cs="Times New Roman" w:eastAsiaTheme="minorEastAsia"/>
          <w:lang w:eastAsia="zh-CN"/>
        </w:rPr>
        <w:t>，</w:t>
      </w:r>
      <w:r>
        <w:rPr>
          <w:rFonts w:hint="eastAsia" w:cs="Times New Roman" w:eastAsiaTheme="minorEastAsia"/>
        </w:rPr>
        <w:t>带动区域经济协调发展。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eastAsiaTheme="minorEastAsia"/>
          <w:lang w:eastAsia="zh-CN"/>
        </w:rPr>
      </w:pPr>
      <w:r>
        <w:rPr>
          <w:rFonts w:hint="eastAsia" w:cs="Times New Roman" w:eastAsiaTheme="minorEastAsia"/>
        </w:rPr>
        <w:t>《规划》在编制过程中得到了</w:t>
      </w:r>
      <w:r>
        <w:rPr>
          <w:rFonts w:hint="eastAsia" w:cs="Times New Roman" w:eastAsiaTheme="minorEastAsia"/>
          <w:lang w:val="en-US" w:eastAsia="zh-CN"/>
        </w:rPr>
        <w:t>河南</w:t>
      </w:r>
      <w:r>
        <w:rPr>
          <w:rFonts w:hint="eastAsia" w:cs="Times New Roman" w:eastAsiaTheme="minorEastAsia"/>
        </w:rPr>
        <w:t>省林业</w:t>
      </w:r>
      <w:r>
        <w:rPr>
          <w:rFonts w:hint="eastAsia" w:cs="Times New Roman" w:eastAsiaTheme="minorEastAsia"/>
          <w:lang w:val="en-US" w:eastAsia="zh-CN"/>
        </w:rPr>
        <w:t>局</w:t>
      </w:r>
      <w:r>
        <w:rPr>
          <w:rFonts w:hint="eastAsia" w:cs="Times New Roman" w:eastAsiaTheme="minorEastAsia"/>
        </w:rPr>
        <w:t>、</w:t>
      </w:r>
      <w:r>
        <w:rPr>
          <w:rFonts w:hint="eastAsia" w:cs="Times New Roman" w:eastAsiaTheme="minorEastAsia"/>
          <w:lang w:val="en-US" w:eastAsia="zh-CN"/>
        </w:rPr>
        <w:t>濮阳市林业局、台前县</w:t>
      </w:r>
      <w:r>
        <w:rPr>
          <w:rFonts w:hint="eastAsia" w:cs="Times New Roman" w:eastAsiaTheme="minorEastAsia"/>
        </w:rPr>
        <w:t>政府、</w:t>
      </w:r>
      <w:r>
        <w:rPr>
          <w:rFonts w:hint="eastAsia" w:cs="Times New Roman" w:eastAsiaTheme="minorEastAsia"/>
          <w:lang w:val="en-US" w:eastAsia="zh-CN"/>
        </w:rPr>
        <w:t>台前县自然资源局</w:t>
      </w:r>
      <w:r>
        <w:rPr>
          <w:rFonts w:hint="eastAsia" w:cs="Times New Roman" w:eastAsiaTheme="minorEastAsia"/>
        </w:rPr>
        <w:t>的大力支持和帮助，对此</w:t>
      </w:r>
      <w:r>
        <w:rPr>
          <w:rFonts w:hint="eastAsia" w:cs="Times New Roman" w:eastAsiaTheme="minorEastAsia"/>
          <w:lang w:val="en-US" w:eastAsia="zh-CN"/>
        </w:rPr>
        <w:t>项目</w:t>
      </w:r>
      <w:r>
        <w:rPr>
          <w:rFonts w:hint="eastAsia" w:cs="Times New Roman" w:eastAsiaTheme="minorEastAsia"/>
        </w:rPr>
        <w:t>组表示衷心的感谢</w:t>
      </w:r>
      <w:r>
        <w:rPr>
          <w:rFonts w:hint="eastAsia" w:cs="Times New Roman" w:eastAsiaTheme="minor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160" w:firstLineChars="2200"/>
        <w:textAlignment w:val="auto"/>
        <w:rPr>
          <w:rFonts w:hint="eastAsia" w:cs="Times New Roman" w:eastAsiaTheme="minorEastAsia"/>
        </w:rPr>
      </w:pPr>
      <w:r>
        <w:rPr>
          <w:rFonts w:hint="eastAsia" w:cs="Times New Roman" w:eastAsiaTheme="minorEastAsi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040" w:firstLineChars="1800"/>
        <w:textAlignment w:val="auto"/>
        <w:rPr>
          <w:rFonts w:hint="eastAsia" w:cs="Times New Roman" w:eastAsiaTheme="minorEastAsia"/>
        </w:rPr>
      </w:pPr>
      <w:r>
        <w:rPr>
          <w:rFonts w:hint="eastAsia" w:cs="Times New Roman" w:eastAsiaTheme="minorEastAsia"/>
        </w:rPr>
        <w:t>《规划》</w:t>
      </w:r>
      <w:r>
        <w:rPr>
          <w:rFonts w:hint="eastAsia" w:cs="Times New Roman" w:eastAsiaTheme="minorEastAsia"/>
          <w:lang w:val="en-US" w:eastAsia="zh-CN"/>
        </w:rPr>
        <w:t>编制</w:t>
      </w:r>
      <w:r>
        <w:rPr>
          <w:rFonts w:hint="eastAsia" w:cs="Times New Roman" w:eastAsiaTheme="minorEastAsia"/>
        </w:rPr>
        <w:t>项目组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cs="Times New Roman" w:eastAsiaTheme="minorEastAsia"/>
          <w:lang w:val="en-US" w:eastAsia="zh-CN"/>
        </w:rPr>
        <w:sectPr>
          <w:footerReference r:id="rId13" w:type="default"/>
          <w:pgSz w:w="11906" w:h="16838"/>
          <w:pgMar w:top="1440" w:right="1800" w:bottom="1440" w:left="1800" w:header="851" w:footer="992" w:gutter="0"/>
          <w:pgNumType w:fmt="numberInDash" w:start="1"/>
          <w:cols w:space="425" w:num="1"/>
          <w:docGrid w:type="lines" w:linePitch="312" w:charSpace="0"/>
        </w:sectPr>
      </w:pPr>
      <w:r>
        <w:rPr>
          <w:rFonts w:hint="eastAsia" w:cs="Times New Roman" w:eastAsiaTheme="minorEastAsia"/>
        </w:rPr>
        <w:t xml:space="preserve">                                   </w:t>
      </w:r>
      <w:r>
        <w:rPr>
          <w:rFonts w:hint="eastAsia" w:cs="Times New Roman" w:eastAsiaTheme="minorEastAsia"/>
          <w:lang w:val="en-US" w:eastAsia="zh-CN"/>
        </w:rPr>
        <w:t xml:space="preserve">   </w:t>
      </w:r>
      <w:r>
        <w:rPr>
          <w:rFonts w:hint="eastAsia" w:cs="Times New Roman" w:eastAsiaTheme="minorEastAsia"/>
        </w:rPr>
        <w:t xml:space="preserve"> </w:t>
      </w:r>
      <w:r>
        <w:rPr>
          <w:rFonts w:hint="eastAsia" w:cs="Times New Roman" w:eastAsiaTheme="minorEastAsia"/>
          <w:lang w:val="en-US" w:eastAsia="zh-CN"/>
        </w:rPr>
        <w:t>二〇二一年六月</w:t>
      </w:r>
    </w:p>
    <w:p>
      <w:pPr>
        <w:pStyle w:val="41"/>
        <w:keepNext w:val="0"/>
        <w:keepLines w:val="0"/>
        <w:pageBreakBefore/>
        <w:widowControl/>
        <w:adjustRightInd w:val="0"/>
        <w:snapToGrid w:val="0"/>
        <w:spacing w:before="240" w:beforeLines="100" w:after="0" w:afterLines="0" w:line="360" w:lineRule="auto"/>
        <w:ind w:firstLine="0" w:firstLineChars="0"/>
        <w:rPr>
          <w:rFonts w:cs="Times New Roman"/>
          <w:b w:val="0"/>
          <w:bCs w:val="0"/>
          <w:iCs/>
          <w:color w:val="auto"/>
          <w:kern w:val="44"/>
          <w:szCs w:val="44"/>
        </w:rPr>
      </w:pPr>
      <w:bookmarkStart w:id="15" w:name="_Toc20413"/>
      <w:r>
        <w:rPr>
          <w:rFonts w:hint="eastAsia" w:cs="Times New Roman"/>
          <w:b w:val="0"/>
          <w:bCs w:val="0"/>
          <w:iCs/>
          <w:color w:val="auto"/>
          <w:kern w:val="44"/>
          <w:szCs w:val="44"/>
        </w:rPr>
        <w:t>第一章 基本情况</w:t>
      </w:r>
      <w:bookmarkEnd w:id="15"/>
    </w:p>
    <w:p>
      <w:pPr>
        <w:pStyle w:val="3"/>
      </w:pPr>
      <w:bookmarkStart w:id="16" w:name="_Toc26781"/>
      <w:r>
        <w:rPr>
          <w:rFonts w:hint="eastAsia"/>
        </w:rPr>
        <w:t>第一节 地理位置、面积及权属</w:t>
      </w:r>
      <w:bookmarkEnd w:id="16"/>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default"/>
        </w:rPr>
      </w:pPr>
      <w:r>
        <w:rPr>
          <w:rFonts w:hint="default" w:ascii="Times New Roman" w:hAnsi="Times New Roman" w:eastAsia="宋体" w:cs="Times New Roman"/>
          <w:color w:val="auto"/>
          <w:sz w:val="28"/>
          <w:szCs w:val="28"/>
        </w:rPr>
        <w:t>台前县西凤省级森林公园坐落在濮阳市台前县后方</w:t>
      </w:r>
      <w:r>
        <w:rPr>
          <w:rFonts w:hint="default" w:ascii="Times New Roman" w:hAnsi="Times New Roman" w:eastAsia="宋体" w:cs="Times New Roman"/>
          <w:color w:val="auto"/>
          <w:sz w:val="28"/>
          <w:szCs w:val="28"/>
          <w:lang w:val="en-US" w:eastAsia="zh-CN"/>
        </w:rPr>
        <w:t>乡</w:t>
      </w:r>
      <w:r>
        <w:rPr>
          <w:rFonts w:hint="default" w:ascii="Times New Roman" w:hAnsi="Times New Roman" w:eastAsia="宋体" w:cs="Times New Roman"/>
          <w:color w:val="auto"/>
          <w:sz w:val="28"/>
          <w:szCs w:val="28"/>
        </w:rPr>
        <w:t>和城关镇境内，规划面积178.53公顷。公园东西宽约1.3公里，南北长约2公里。南至G342，北至金堤河南沿，东至聂马路，西至高速引线。公园地理坐标为：东经115°47′47″—115°48′48″，北纬35°57′55″—35°59′1″。公园范围内所涉及的土地皆已流转至台前县森茂林业发展有限公司，不存在土地权属争议、纠纷等问题。</w:t>
      </w:r>
    </w:p>
    <w:p>
      <w:pPr>
        <w:pStyle w:val="3"/>
        <w:rPr>
          <w:rFonts w:hint="eastAsia"/>
          <w:highlight w:val="none"/>
        </w:rPr>
      </w:pPr>
      <w:bookmarkStart w:id="17" w:name="_Toc28297"/>
      <w:r>
        <w:rPr>
          <w:rFonts w:hint="eastAsia"/>
          <w:highlight w:val="none"/>
        </w:rPr>
        <w:t>第二节 自然条件</w:t>
      </w:r>
      <w:bookmarkEnd w:id="17"/>
    </w:p>
    <w:p>
      <w:pPr>
        <w:pStyle w:val="4"/>
        <w:rPr>
          <w:rFonts w:hint="eastAsia" w:ascii="宋体" w:hAnsi="宋体" w:eastAsia="宋体" w:cs="宋体"/>
        </w:rPr>
      </w:pPr>
      <w:r>
        <w:rPr>
          <w:rFonts w:hint="eastAsia" w:ascii="宋体" w:hAnsi="宋体" w:eastAsia="宋体" w:cs="宋体"/>
        </w:rPr>
        <w:t>一、地形地貌</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台前县境</w:t>
      </w:r>
      <w:r>
        <w:rPr>
          <w:rFonts w:hint="default" w:ascii="Times New Roman" w:hAnsi="Times New Roman" w:eastAsia="宋体" w:cs="Times New Roman"/>
          <w:color w:val="auto"/>
          <w:sz w:val="28"/>
          <w:szCs w:val="28"/>
          <w:lang w:val="en-US" w:eastAsia="zh-CN"/>
        </w:rPr>
        <w:t>内</w:t>
      </w:r>
      <w:r>
        <w:rPr>
          <w:rFonts w:hint="default" w:ascii="Times New Roman" w:hAnsi="Times New Roman" w:eastAsia="宋体" w:cs="Times New Roman"/>
          <w:color w:val="auto"/>
          <w:sz w:val="28"/>
          <w:szCs w:val="28"/>
        </w:rPr>
        <w:t>属黄河冲积平原，地势随黄河流向自西南向东北倾斜，平均坡降1/8000，西高东低、南高北低。全县海拔最高48.8米，最低39.3米。黄河沿县境南部，由西南向东北蜿蜒流经长度约68.5公里；金堤河沿县境北部，由西向东流经跨度约46公里，汇流入黄河。由于历史上黄河频繁泛滥，造成了河床高、地面低和滩区高而易旱、内地低而易涝的地势。临黄堤、金堤和金堤河把全县分割为黄河滩区、背河洼地和黄泛平原三大部分，形成了高低分明、各具特色的四大地貌类型：金堤河下游沙岗区、金堤河下游平坡区、背河洼地和黄河滩区。</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台前县西凤省级森林公园地处华北断陷盆地东南边缘的鲁西隆</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起上，属于渤海凹陷地块。公园处在金堤河和黄河包围的冲积平原上，由黄河泛滥冲积所致。属于黄泛平原，地形平坦。</w:t>
      </w:r>
    </w:p>
    <w:p>
      <w:pPr>
        <w:pStyle w:val="4"/>
        <w:rPr>
          <w:rFonts w:hint="eastAsia" w:ascii="宋体" w:hAnsi="宋体" w:eastAsia="宋体" w:cs="宋体"/>
        </w:rPr>
      </w:pPr>
      <w:r>
        <w:rPr>
          <w:rFonts w:hint="eastAsia" w:ascii="宋体" w:hAnsi="宋体" w:eastAsia="宋体" w:cs="宋体"/>
        </w:rPr>
        <w:t>二、土壤条件</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highlight w:val="none"/>
        </w:rPr>
        <w:t>台前县的土壤类型有潮土、风砂土和碱土3个土类，9个亚类，15个土属，62个土种。潮土为主要土壤，占全县土地面积的97.2%，分布在除西北部黄河故道区以外的大部分地区。</w:t>
      </w:r>
      <w:r>
        <w:rPr>
          <w:rFonts w:hint="eastAsia" w:eastAsia="宋体" w:cs="Times New Roman"/>
          <w:color w:val="auto"/>
          <w:sz w:val="28"/>
          <w:szCs w:val="28"/>
          <w:highlight w:val="none"/>
          <w:lang w:val="en-US" w:eastAsia="zh-CN"/>
        </w:rPr>
        <w:t>西凤省级森林公园的土壤主要为</w:t>
      </w:r>
      <w:r>
        <w:rPr>
          <w:rFonts w:hint="eastAsia" w:eastAsia="宋体" w:cs="Times New Roman"/>
          <w:color w:val="auto"/>
          <w:sz w:val="28"/>
          <w:szCs w:val="28"/>
          <w:highlight w:val="none"/>
        </w:rPr>
        <w:t>潮土</w:t>
      </w:r>
      <w:r>
        <w:rPr>
          <w:rFonts w:hint="eastAsia" w:eastAsia="宋体" w:cs="Times New Roman"/>
          <w:color w:val="auto"/>
          <w:sz w:val="28"/>
          <w:szCs w:val="28"/>
          <w:highlight w:val="none"/>
          <w:lang w:eastAsia="zh-CN"/>
        </w:rPr>
        <w:t>，</w:t>
      </w:r>
      <w:r>
        <w:rPr>
          <w:rFonts w:hint="eastAsia" w:eastAsia="宋体" w:cs="Times New Roman"/>
          <w:color w:val="auto"/>
          <w:sz w:val="28"/>
          <w:szCs w:val="28"/>
          <w:highlight w:val="none"/>
        </w:rPr>
        <w:t>潮土表层呈灰黄色，土层深厚，熟化程度较高，土体疏松，沙黏适中，耕性良好，保水保肥，酸碱适度，肥力较高，适合栽种多种作物，是农业生产的理想土壤</w:t>
      </w:r>
      <w:r>
        <w:rPr>
          <w:rFonts w:hint="eastAsia" w:eastAsia="宋体" w:cs="Times New Roman"/>
          <w:color w:val="auto"/>
          <w:sz w:val="28"/>
          <w:szCs w:val="28"/>
        </w:rPr>
        <w:t>。</w:t>
      </w:r>
    </w:p>
    <w:p>
      <w:pPr>
        <w:pStyle w:val="4"/>
        <w:rPr>
          <w:rFonts w:hint="eastAsia" w:ascii="宋体" w:hAnsi="宋体" w:eastAsia="宋体" w:cs="宋体"/>
        </w:rPr>
      </w:pPr>
      <w:r>
        <w:rPr>
          <w:rFonts w:hint="eastAsia" w:ascii="宋体" w:hAnsi="宋体" w:eastAsia="宋体" w:cs="宋体"/>
        </w:rPr>
        <w:t>三、气候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台前县西凤省级森林公园属暖温带半湿润东亚季风区大陆性气候，四</w:t>
      </w:r>
      <w:r>
        <w:rPr>
          <w:rFonts w:hint="eastAsia" w:eastAsia="宋体" w:cs="Times New Roman"/>
          <w:color w:val="auto"/>
          <w:sz w:val="28"/>
          <w:szCs w:val="28"/>
          <w:lang w:val="en-US" w:eastAsia="zh-CN"/>
        </w:rPr>
        <w:t>季</w:t>
      </w:r>
      <w:r>
        <w:rPr>
          <w:rFonts w:hint="eastAsia" w:eastAsia="宋体" w:cs="Times New Roman"/>
          <w:color w:val="auto"/>
          <w:sz w:val="28"/>
          <w:szCs w:val="28"/>
        </w:rPr>
        <w:t>分明，温度适中，光照充足，春旱夏涝交替明显。春季干旱多风，夏季炎热雨量大，秋季凉爽多阴雨，冬季干冷少雨雪</w:t>
      </w:r>
      <w:r>
        <w:rPr>
          <w:rFonts w:hint="eastAsia" w:eastAsia="宋体" w:cs="Times New Roman"/>
          <w:color w:val="auto"/>
          <w:sz w:val="28"/>
          <w:szCs w:val="28"/>
          <w:highlight w:val="none"/>
        </w:rPr>
        <w:t>。日照时数值</w:t>
      </w:r>
      <w:r>
        <w:rPr>
          <w:rFonts w:hint="eastAsia" w:eastAsia="宋体" w:cs="Times New Roman"/>
          <w:color w:val="auto"/>
          <w:sz w:val="28"/>
          <w:szCs w:val="28"/>
        </w:rPr>
        <w:t>高，热量</w:t>
      </w:r>
      <w:r>
        <w:rPr>
          <w:rFonts w:hint="eastAsia" w:eastAsia="宋体" w:cs="Times New Roman"/>
          <w:color w:val="auto"/>
          <w:sz w:val="28"/>
          <w:szCs w:val="28"/>
          <w:lang w:val="en-US" w:eastAsia="zh-CN"/>
        </w:rPr>
        <w:t>和</w:t>
      </w:r>
      <w:r>
        <w:rPr>
          <w:rFonts w:hint="eastAsia" w:eastAsia="宋体" w:cs="Times New Roman"/>
          <w:color w:val="auto"/>
          <w:sz w:val="28"/>
          <w:szCs w:val="28"/>
        </w:rPr>
        <w:t>降水较丰富，雨热同期，但降水时空分布不均，旱涝灾害频繁。太阳辐射量</w:t>
      </w:r>
      <w:r>
        <w:rPr>
          <w:rFonts w:hint="eastAsia" w:eastAsia="宋体" w:cs="Times New Roman"/>
          <w:color w:val="auto"/>
          <w:sz w:val="28"/>
          <w:szCs w:val="28"/>
          <w:lang w:val="en-US" w:eastAsia="zh-CN"/>
        </w:rPr>
        <w:t>较高</w:t>
      </w:r>
      <w:r>
        <w:rPr>
          <w:rFonts w:hint="eastAsia" w:eastAsia="宋体" w:cs="Times New Roman"/>
          <w:color w:val="auto"/>
          <w:sz w:val="28"/>
          <w:szCs w:val="28"/>
        </w:rPr>
        <w:t>，光能资源较为丰富。</w:t>
      </w:r>
    </w:p>
    <w:p>
      <w:pPr>
        <w:pStyle w:val="42"/>
        <w:widowControl/>
        <w:adjustRightInd/>
        <w:snapToGrid/>
        <w:spacing w:before="120" w:beforeLines="50" w:line="360" w:lineRule="auto"/>
        <w:ind w:firstLine="562" w:firstLineChars="0"/>
        <w:jc w:val="both"/>
        <w:outlineLvl w:val="3"/>
        <w:rPr>
          <w:rFonts w:eastAsia="楷体" w:cs="Times New Roman"/>
          <w:b/>
          <w:bCs/>
          <w:color w:val="auto"/>
          <w:sz w:val="28"/>
          <w:szCs w:val="28"/>
        </w:rPr>
      </w:pPr>
      <w:r>
        <w:rPr>
          <w:rFonts w:hint="eastAsia" w:eastAsia="楷体" w:cs="Times New Roman"/>
          <w:b/>
          <w:bCs/>
          <w:color w:val="auto"/>
          <w:sz w:val="28"/>
          <w:szCs w:val="28"/>
        </w:rPr>
        <w:t>（一）气温变化</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eastAsia" w:eastAsia="宋体" w:cs="Times New Roman"/>
          <w:color w:val="auto"/>
          <w:sz w:val="28"/>
          <w:szCs w:val="28"/>
          <w:lang w:val="en-US" w:eastAsia="zh-CN"/>
        </w:rPr>
        <w:t>台前县</w:t>
      </w:r>
      <w:r>
        <w:rPr>
          <w:rFonts w:hint="default" w:ascii="Times New Roman" w:hAnsi="Times New Roman" w:eastAsia="宋体" w:cs="Times New Roman"/>
          <w:color w:val="auto"/>
          <w:sz w:val="28"/>
          <w:szCs w:val="28"/>
        </w:rPr>
        <w:t>年平均气温为13.3℃，年极端最高气温为41.9℃，年极端最低气温为-20.8℃。全年1月气温最低，历年平均为-2.4℃，7月气温最高，历年平均为27.0℃，日均温≥10℃的积温为4490℃。平均无霜期为216天左右。</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（二）风力条件</w:t>
      </w:r>
    </w:p>
    <w:p>
      <w:pPr>
        <w:ind w:firstLine="560"/>
        <w:rPr>
          <w:rFonts w:hint="default" w:ascii="Times New Roman" w:hAnsi="Times New Roman" w:cs="Times New Roman"/>
          <w:color w:val="000000"/>
          <w:szCs w:val="28"/>
        </w:rPr>
      </w:pPr>
      <w:r>
        <w:rPr>
          <w:rFonts w:hint="default" w:ascii="Times New Roman" w:hAnsi="Times New Roman" w:eastAsia="宋体" w:cs="Times New Roman"/>
          <w:color w:val="auto"/>
          <w:sz w:val="28"/>
          <w:szCs w:val="28"/>
        </w:rPr>
        <w:t>全年主导风向为南风，其次为北风，静风较多，西北风最少，风向有季节规律。全年平均风速为3.3米/秒，四季风速不同，春季最高，平均风速3.9米/秒，秋季最低，平均风速2.8米/秒。最大风力8级，以春季出现最多，平均为7次。</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（三）日照条件</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台前县日照时数值为河南省偏高地区，年均日照时数为2528.6小时，有利于植物生长。光合有效辐射量，年均为61.7千卡/平方厘米；在日均温≥10℃的植物生长活跃期，光合有效辐射量为40.9千卡/平方厘米，约占全年的66.3%。</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（四）湿度</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公园乔木林众多，森林覆盖面积大，并且内有</w:t>
      </w:r>
      <w:r>
        <w:rPr>
          <w:rFonts w:hint="default" w:ascii="Times New Roman" w:hAnsi="Times New Roman" w:eastAsia="宋体" w:cs="Times New Roman"/>
          <w:color w:val="auto"/>
          <w:sz w:val="28"/>
          <w:szCs w:val="28"/>
          <w:lang w:val="en-US" w:eastAsia="zh-CN"/>
        </w:rPr>
        <w:t>梁庙沟</w:t>
      </w:r>
      <w:r>
        <w:rPr>
          <w:rFonts w:hint="default" w:ascii="Times New Roman" w:hAnsi="Times New Roman" w:eastAsia="宋体" w:cs="Times New Roman"/>
          <w:color w:val="auto"/>
          <w:sz w:val="28"/>
          <w:szCs w:val="28"/>
        </w:rPr>
        <w:t>等水系贯穿全园，平均湿度可达70%。</w:t>
      </w:r>
    </w:p>
    <w:p>
      <w:pPr>
        <w:pStyle w:val="4"/>
        <w:rPr>
          <w:rFonts w:hint="eastAsia" w:ascii="宋体" w:hAnsi="宋体" w:eastAsia="宋体" w:cs="宋体"/>
        </w:rPr>
      </w:pPr>
      <w:r>
        <w:rPr>
          <w:rFonts w:hint="eastAsia" w:ascii="宋体" w:hAnsi="宋体" w:eastAsia="宋体" w:cs="宋体"/>
        </w:rPr>
        <w:t>四、河流水系</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公园北部与金堤河毗连，金堤河从西到东横贯台前县</w:t>
      </w:r>
      <w:r>
        <w:rPr>
          <w:rFonts w:hint="eastAsia" w:eastAsia="宋体" w:cs="Times New Roman"/>
          <w:color w:val="auto"/>
          <w:sz w:val="28"/>
          <w:szCs w:val="28"/>
          <w:lang w:eastAsia="zh-CN"/>
        </w:rPr>
        <w:t>；</w:t>
      </w:r>
      <w:r>
        <w:rPr>
          <w:rFonts w:hint="eastAsia" w:eastAsia="宋体" w:cs="Times New Roman"/>
          <w:color w:val="auto"/>
          <w:sz w:val="28"/>
          <w:szCs w:val="28"/>
        </w:rPr>
        <w:t>内部有一条</w:t>
      </w:r>
      <w:r>
        <w:rPr>
          <w:rFonts w:hint="eastAsia" w:eastAsia="宋体" w:cs="Times New Roman"/>
          <w:color w:val="auto"/>
          <w:sz w:val="28"/>
          <w:szCs w:val="28"/>
          <w:lang w:val="en-US" w:eastAsia="zh-CN"/>
        </w:rPr>
        <w:t>梁庙沟贯穿东西</w:t>
      </w:r>
      <w:r>
        <w:rPr>
          <w:rFonts w:hint="eastAsia" w:eastAsia="宋体" w:cs="Times New Roman"/>
          <w:color w:val="auto"/>
          <w:sz w:val="28"/>
          <w:szCs w:val="28"/>
        </w:rPr>
        <w:t>。</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（一）金堤河</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金堤河为平原坡水河道，河长159公里，平均河宽260米，比降0.91～0.59，流域狭长，面积4869平方公里，包括河南省的新乡、延津、汲县、浚县、封丘、濮阳、长垣、滑县、范县、台前和山东的莘县、阳谷等12县市，在台前张庄入黄河，有闸门控制。金堤河的流域面积60%在范县五爷庙以上，40%在五爷庙以下。金堤河年径流量为26200万立方米，季节性河流，河水来源除流域降水外，还有引黄灌溉区弃水、退水和黄河干流侧渗补水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eastAsia="zh-CN"/>
        </w:rPr>
      </w:pPr>
      <w:r>
        <w:rPr>
          <w:rFonts w:hint="eastAsia" w:eastAsia="楷体" w:cs="Times New Roman"/>
          <w:b/>
          <w:bCs/>
          <w:color w:val="auto"/>
          <w:sz w:val="28"/>
          <w:szCs w:val="28"/>
        </w:rPr>
        <w:t>（二）</w:t>
      </w:r>
      <w:r>
        <w:rPr>
          <w:rFonts w:hint="eastAsia" w:eastAsia="楷体" w:cs="Times New Roman"/>
          <w:b/>
          <w:bCs/>
          <w:color w:val="auto"/>
          <w:sz w:val="28"/>
          <w:szCs w:val="28"/>
          <w:lang w:val="en-US" w:eastAsia="zh-CN"/>
        </w:rPr>
        <w:t>梁庙沟</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梁庙沟是台前县骨干排水沟，全长9.72公里，流域面积134平方公里。渠首位于后方乡</w:t>
      </w:r>
      <w:r>
        <w:rPr>
          <w:rFonts w:hint="eastAsia" w:eastAsia="宋体" w:cs="Times New Roman"/>
          <w:color w:val="auto"/>
          <w:sz w:val="28"/>
          <w:szCs w:val="28"/>
          <w:lang w:eastAsia="zh-CN"/>
        </w:rPr>
        <w:t>三岔路口</w:t>
      </w:r>
      <w:r>
        <w:rPr>
          <w:rFonts w:hint="default" w:ascii="Times New Roman" w:hAnsi="Times New Roman" w:eastAsia="宋体" w:cs="Times New Roman"/>
          <w:color w:val="auto"/>
          <w:sz w:val="28"/>
          <w:szCs w:val="28"/>
        </w:rPr>
        <w:t>，途径后方乡、城关镇。由梁庙堤排站排入金堤河。</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梁庙沟与县域内水系相通，因公园内森林茂密，涵养水分，河床常年有水，属常年河，但季节性十分明显，夏季流量增大，大雨之后为排洪河道。一水养育千亩之地，蓄一方生命之水，造一方自然之溪流美景。</w:t>
      </w:r>
    </w:p>
    <w:p>
      <w:pPr>
        <w:pStyle w:val="4"/>
        <w:rPr>
          <w:rFonts w:hint="eastAsia" w:ascii="宋体" w:hAnsi="宋体" w:eastAsia="宋体" w:cs="宋体"/>
        </w:rPr>
      </w:pPr>
      <w:r>
        <w:rPr>
          <w:rFonts w:hint="eastAsia" w:ascii="宋体" w:hAnsi="宋体" w:eastAsia="宋体" w:cs="宋体"/>
        </w:rPr>
        <w:t>五、植被</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据调查，台前县有维管植物81科239属502种，其中蕨类植物4科4属8种，裸子植物3科5属6种，被子植物74科230属488种。属于国家重点保护的植物6种，其中国家一级保护植物</w:t>
      </w:r>
      <w:r>
        <w:rPr>
          <w:rFonts w:hint="eastAsia" w:ascii="Times New Roman" w:hAnsi="Times New Roman" w:eastAsia="宋体" w:cs="Times New Roman"/>
          <w:color w:val="auto"/>
          <w:sz w:val="28"/>
          <w:szCs w:val="28"/>
          <w:lang w:val="en-US" w:eastAsia="zh-CN"/>
        </w:rPr>
        <w:t>1种：</w:t>
      </w:r>
      <w:r>
        <w:rPr>
          <w:rFonts w:hint="default" w:ascii="Times New Roman" w:hAnsi="Times New Roman" w:eastAsia="宋体" w:cs="Times New Roman"/>
          <w:color w:val="auto"/>
          <w:sz w:val="28"/>
          <w:szCs w:val="28"/>
        </w:rPr>
        <w:t>水杉，国家二级保护植物</w:t>
      </w:r>
      <w:r>
        <w:rPr>
          <w:rFonts w:hint="default" w:ascii="Times New Roman" w:hAnsi="Times New Roman" w:eastAsia="宋体" w:cs="Times New Roman"/>
          <w:color w:val="auto"/>
          <w:sz w:val="28"/>
          <w:szCs w:val="28"/>
          <w:lang w:val="en-US" w:eastAsia="zh-CN"/>
        </w:rPr>
        <w:t>5种</w:t>
      </w:r>
      <w:r>
        <w:rPr>
          <w:rFonts w:hint="eastAsia"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rPr>
        <w:t>银杏、杜仲、乌苏里狐尾藻、野菱、野大豆。</w:t>
      </w:r>
    </w:p>
    <w:p>
      <w:pPr>
        <w:widowControl/>
        <w:adjustRightInd/>
        <w:snapToGrid/>
        <w:spacing w:line="360" w:lineRule="auto"/>
        <w:ind w:firstLine="560" w:firstLineChars="0"/>
        <w:jc w:val="both"/>
        <w:rPr>
          <w:rFonts w:hint="default" w:ascii="Times New Roman" w:hAnsi="Times New Roman" w:cs="Times New Roman"/>
          <w:color w:val="000000"/>
          <w:szCs w:val="28"/>
        </w:rPr>
      </w:pPr>
      <w:r>
        <w:rPr>
          <w:rFonts w:hint="default" w:ascii="Times New Roman" w:hAnsi="Times New Roman" w:eastAsia="宋体" w:cs="Times New Roman"/>
          <w:color w:val="auto"/>
          <w:sz w:val="28"/>
          <w:szCs w:val="28"/>
        </w:rPr>
        <w:t>森林公园</w:t>
      </w:r>
      <w:r>
        <w:rPr>
          <w:rFonts w:hint="default" w:ascii="Times New Roman" w:hAnsi="Times New Roman" w:eastAsia="宋体" w:cs="Times New Roman"/>
          <w:color w:val="auto"/>
          <w:sz w:val="28"/>
          <w:szCs w:val="28"/>
          <w:lang w:val="en-US" w:eastAsia="zh-CN"/>
        </w:rPr>
        <w:t>内</w:t>
      </w:r>
      <w:r>
        <w:rPr>
          <w:rFonts w:hint="default" w:ascii="Times New Roman" w:hAnsi="Times New Roman" w:eastAsia="宋体" w:cs="Times New Roman"/>
          <w:color w:val="auto"/>
          <w:sz w:val="28"/>
          <w:szCs w:val="28"/>
        </w:rPr>
        <w:t>共有植</w:t>
      </w:r>
      <w:r>
        <w:rPr>
          <w:rFonts w:hint="default" w:ascii="Times New Roman" w:hAnsi="Times New Roman" w:eastAsia="宋体" w:cs="Times New Roman"/>
          <w:color w:val="auto"/>
          <w:sz w:val="28"/>
          <w:szCs w:val="28"/>
          <w:lang w:val="en-US" w:eastAsia="zh-CN"/>
        </w:rPr>
        <w:t>物27科45属54种。其中</w:t>
      </w:r>
      <w:r>
        <w:rPr>
          <w:rFonts w:hint="default" w:ascii="Times New Roman" w:hAnsi="Times New Roman" w:eastAsia="宋体" w:cs="Times New Roman"/>
          <w:color w:val="auto"/>
          <w:sz w:val="28"/>
          <w:szCs w:val="28"/>
        </w:rPr>
        <w:t>国家一级保护植物有水杉1种</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国家</w:t>
      </w:r>
      <w:r>
        <w:rPr>
          <w:rFonts w:hint="default" w:ascii="Times New Roman" w:hAnsi="Times New Roman" w:eastAsia="宋体" w:cs="Times New Roman"/>
          <w:color w:val="auto"/>
          <w:sz w:val="28"/>
          <w:szCs w:val="28"/>
          <w:lang w:val="en-US" w:eastAsia="zh-CN"/>
        </w:rPr>
        <w:t>二</w:t>
      </w:r>
      <w:r>
        <w:rPr>
          <w:rFonts w:hint="default" w:ascii="Times New Roman" w:hAnsi="Times New Roman" w:eastAsia="宋体" w:cs="Times New Roman"/>
          <w:color w:val="auto"/>
          <w:sz w:val="28"/>
          <w:szCs w:val="28"/>
        </w:rPr>
        <w:t>级保护植物有</w:t>
      </w:r>
      <w:r>
        <w:rPr>
          <w:rFonts w:hint="default" w:ascii="Times New Roman" w:hAnsi="Times New Roman" w:eastAsia="宋体" w:cs="Times New Roman"/>
          <w:color w:val="auto"/>
          <w:sz w:val="28"/>
          <w:szCs w:val="28"/>
          <w:lang w:val="en-US" w:eastAsia="zh-CN"/>
        </w:rPr>
        <w:t>银杏、杜仲2</w:t>
      </w:r>
      <w:r>
        <w:rPr>
          <w:rFonts w:hint="default" w:ascii="Times New Roman" w:hAnsi="Times New Roman" w:eastAsia="宋体" w:cs="Times New Roman"/>
          <w:color w:val="auto"/>
          <w:sz w:val="28"/>
          <w:szCs w:val="28"/>
        </w:rPr>
        <w:t>种</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河南省省级保护植物有白皮松、杜仲2</w:t>
      </w:r>
      <w:r>
        <w:rPr>
          <w:rFonts w:hint="default" w:ascii="Times New Roman" w:hAnsi="Times New Roman" w:eastAsia="宋体" w:cs="Times New Roman"/>
          <w:color w:val="auto"/>
          <w:sz w:val="28"/>
          <w:szCs w:val="28"/>
        </w:rPr>
        <w:t>种</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公园内植物种类以乔木林为主，植被较为茂盛。主要树种有白蜡、榆</w:t>
      </w:r>
      <w:r>
        <w:rPr>
          <w:rFonts w:hint="default" w:ascii="Times New Roman" w:hAnsi="Times New Roman" w:eastAsia="宋体" w:cs="Times New Roman"/>
          <w:color w:val="auto"/>
          <w:sz w:val="28"/>
          <w:szCs w:val="28"/>
          <w:lang w:val="en-US" w:eastAsia="zh-CN"/>
        </w:rPr>
        <w:t>树、</w:t>
      </w:r>
      <w:r>
        <w:rPr>
          <w:rFonts w:hint="eastAsia" w:eastAsia="宋体" w:cs="Times New Roman"/>
          <w:color w:val="auto"/>
          <w:sz w:val="28"/>
          <w:szCs w:val="28"/>
          <w:lang w:val="en-US" w:eastAsia="zh-CN"/>
        </w:rPr>
        <w:t>悬铃木</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rPr>
        <w:t>栾树、核桃、刺槐、银杏、泡桐、杜仲、杨树、红枫等落叶乔木以及女贞、华山松、油松、圆柏、雪松、侧柏、白皮松等常绿乔木。灌木、地被等主要植物有金桂、紫叶李、石楠、美人梅、西府海棠、紫薇、腊梅、迎春、黄杨、紫云英、麦冬、鸢尾、大花萱草等。</w:t>
      </w:r>
    </w:p>
    <w:p>
      <w:pPr>
        <w:pStyle w:val="4"/>
        <w:rPr>
          <w:rFonts w:hint="eastAsia" w:ascii="宋体" w:hAnsi="宋体" w:eastAsia="宋体" w:cs="宋体"/>
        </w:rPr>
      </w:pPr>
      <w:r>
        <w:rPr>
          <w:rFonts w:hint="eastAsia" w:ascii="宋体" w:hAnsi="宋体" w:eastAsia="宋体" w:cs="宋体"/>
        </w:rPr>
        <w:t>六、动物</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据调查，台前县有野生脊椎动物257种，隶属于5纲31目73科。其中：鱼类有59种</w:t>
      </w:r>
      <w:r>
        <w:rPr>
          <w:rFonts w:hint="eastAsia" w:eastAsia="宋体" w:cs="Times New Roman"/>
          <w:color w:val="auto"/>
          <w:sz w:val="28"/>
          <w:szCs w:val="28"/>
          <w:lang w:eastAsia="zh-CN"/>
        </w:rPr>
        <w:t>，</w:t>
      </w:r>
      <w:r>
        <w:rPr>
          <w:rFonts w:hint="default" w:ascii="Times New Roman" w:hAnsi="Times New Roman" w:eastAsia="宋体" w:cs="Times New Roman"/>
          <w:color w:val="auto"/>
          <w:sz w:val="28"/>
          <w:szCs w:val="28"/>
        </w:rPr>
        <w:t>两栖类7种，爬行类17种，鸟类157种，哺乳类17种。国家一级重点保护野生动物有黑鹳、金雕、秃鹫3种；国家二级重点保护野生动物22种，有青鼬、大天鹅、小天鹅、鸳鸯、鹗、苍鹰、雀鹰、红隼、红脚隼等。</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公园内及周边地区野生动物主要有鸟类、</w:t>
      </w:r>
      <w:r>
        <w:rPr>
          <w:rFonts w:hint="eastAsia" w:eastAsia="宋体" w:cs="Times New Roman"/>
          <w:color w:val="auto"/>
          <w:sz w:val="28"/>
          <w:szCs w:val="28"/>
          <w:lang w:val="en-US" w:eastAsia="zh-CN"/>
        </w:rPr>
        <w:t>鱼</w:t>
      </w:r>
      <w:r>
        <w:rPr>
          <w:rFonts w:hint="default" w:ascii="Times New Roman" w:hAnsi="Times New Roman" w:eastAsia="宋体" w:cs="Times New Roman"/>
          <w:color w:val="auto"/>
          <w:sz w:val="28"/>
          <w:szCs w:val="28"/>
        </w:rPr>
        <w:t>类、兽类、</w:t>
      </w:r>
      <w:r>
        <w:rPr>
          <w:rFonts w:hint="eastAsia" w:eastAsia="宋体" w:cs="Times New Roman"/>
          <w:color w:val="auto"/>
          <w:sz w:val="28"/>
          <w:szCs w:val="28"/>
          <w:lang w:val="en-US" w:eastAsia="zh-CN"/>
        </w:rPr>
        <w:t>爬行类、</w:t>
      </w:r>
      <w:r>
        <w:rPr>
          <w:rFonts w:hint="default" w:ascii="Times New Roman" w:hAnsi="Times New Roman" w:eastAsia="宋体" w:cs="Times New Roman"/>
          <w:color w:val="auto"/>
          <w:sz w:val="28"/>
          <w:szCs w:val="28"/>
        </w:rPr>
        <w:t>两栖类。鸟类有麻雀、喜鹊、</w:t>
      </w:r>
      <w:r>
        <w:rPr>
          <w:rFonts w:hint="eastAsia" w:eastAsia="宋体" w:cs="Times New Roman"/>
          <w:color w:val="auto"/>
          <w:sz w:val="28"/>
          <w:szCs w:val="28"/>
          <w:lang w:val="en-US" w:eastAsia="zh-CN"/>
        </w:rPr>
        <w:t>家</w:t>
      </w:r>
      <w:r>
        <w:rPr>
          <w:rFonts w:hint="default" w:ascii="Times New Roman" w:hAnsi="Times New Roman" w:eastAsia="宋体" w:cs="Times New Roman"/>
          <w:color w:val="auto"/>
          <w:sz w:val="28"/>
          <w:szCs w:val="28"/>
        </w:rPr>
        <w:t>燕、乌鸦、啄木鸟、斑鸠、杜鹃、画眉等，</w:t>
      </w:r>
      <w:r>
        <w:rPr>
          <w:rFonts w:hint="eastAsia" w:ascii="Times New Roman" w:hAnsi="Times New Roman" w:eastAsia="宋体" w:cs="Times New Roman"/>
          <w:color w:val="auto"/>
          <w:sz w:val="28"/>
          <w:szCs w:val="28"/>
          <w:lang w:val="en-US" w:eastAsia="zh-CN"/>
        </w:rPr>
        <w:t>鱼</w:t>
      </w:r>
      <w:r>
        <w:rPr>
          <w:rFonts w:hint="default" w:ascii="Times New Roman" w:hAnsi="Times New Roman" w:eastAsia="宋体" w:cs="Times New Roman"/>
          <w:color w:val="auto"/>
          <w:sz w:val="28"/>
          <w:szCs w:val="28"/>
        </w:rPr>
        <w:t>类有</w:t>
      </w:r>
      <w:r>
        <w:rPr>
          <w:rFonts w:hint="eastAsia" w:ascii="Times New Roman" w:hAnsi="Times New Roman" w:eastAsia="宋体" w:cs="Times New Roman"/>
          <w:color w:val="auto"/>
          <w:sz w:val="28"/>
          <w:szCs w:val="28"/>
          <w:lang w:val="en-US" w:eastAsia="zh-CN"/>
        </w:rPr>
        <w:t>青</w:t>
      </w:r>
      <w:r>
        <w:rPr>
          <w:rFonts w:hint="default" w:ascii="Times New Roman" w:hAnsi="Times New Roman" w:eastAsia="宋体" w:cs="Times New Roman"/>
          <w:color w:val="auto"/>
          <w:sz w:val="28"/>
          <w:szCs w:val="28"/>
        </w:rPr>
        <w:t>鱼、</w:t>
      </w:r>
      <w:r>
        <w:rPr>
          <w:rFonts w:hint="eastAsia" w:ascii="Times New Roman" w:hAnsi="Times New Roman" w:eastAsia="宋体" w:cs="Times New Roman"/>
          <w:color w:val="auto"/>
          <w:sz w:val="28"/>
          <w:szCs w:val="28"/>
          <w:lang w:val="en-US" w:eastAsia="zh-CN"/>
        </w:rPr>
        <w:t>草鱼</w:t>
      </w:r>
      <w:r>
        <w:rPr>
          <w:rFonts w:hint="default" w:ascii="Times New Roman" w:hAnsi="Times New Roman" w:eastAsia="宋体" w:cs="Times New Roman"/>
          <w:color w:val="auto"/>
          <w:sz w:val="28"/>
          <w:szCs w:val="28"/>
        </w:rPr>
        <w:t>、泥鳅等，兽类有</w:t>
      </w:r>
      <w:r>
        <w:rPr>
          <w:rFonts w:hint="eastAsia" w:ascii="Times New Roman" w:hAnsi="Times New Roman" w:eastAsia="宋体" w:cs="Times New Roman"/>
          <w:color w:val="auto"/>
          <w:sz w:val="28"/>
          <w:szCs w:val="28"/>
        </w:rPr>
        <w:t>普通刺猬</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东方蝙蝠</w:t>
      </w: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小家鼠</w:t>
      </w:r>
      <w:r>
        <w:rPr>
          <w:rFonts w:hint="default" w:ascii="Times New Roman" w:hAnsi="Times New Roman" w:eastAsia="宋体" w:cs="Times New Roman"/>
          <w:color w:val="auto"/>
          <w:sz w:val="28"/>
          <w:szCs w:val="28"/>
        </w:rPr>
        <w:t>等</w:t>
      </w:r>
      <w:r>
        <w:rPr>
          <w:rFonts w:hint="eastAsia"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爬行类有</w:t>
      </w:r>
      <w:r>
        <w:rPr>
          <w:rFonts w:hint="eastAsia" w:ascii="Times New Roman" w:hAnsi="Times New Roman" w:eastAsia="宋体" w:cs="Times New Roman"/>
          <w:color w:val="auto"/>
          <w:sz w:val="28"/>
          <w:szCs w:val="28"/>
        </w:rPr>
        <w:t>壁虎</w:t>
      </w:r>
      <w:r>
        <w:rPr>
          <w:rFonts w:hint="eastAsia" w:eastAsia="宋体" w:cs="Times New Roman"/>
          <w:color w:val="auto"/>
          <w:sz w:val="28"/>
          <w:szCs w:val="28"/>
          <w:lang w:eastAsia="zh-CN"/>
        </w:rPr>
        <w:t>、乌梢蛇</w:t>
      </w:r>
      <w:r>
        <w:rPr>
          <w:rFonts w:hint="default" w:ascii="Times New Roman" w:hAnsi="Times New Roman" w:eastAsia="宋体" w:cs="Times New Roman"/>
          <w:color w:val="auto"/>
          <w:sz w:val="28"/>
          <w:szCs w:val="28"/>
        </w:rPr>
        <w:t>等，两栖类有中华大蟾蜍</w:t>
      </w:r>
      <w:r>
        <w:rPr>
          <w:rFonts w:hint="eastAsia" w:eastAsia="宋体" w:cs="Times New Roman"/>
          <w:color w:val="auto"/>
          <w:sz w:val="28"/>
          <w:szCs w:val="28"/>
          <w:lang w:eastAsia="zh-CN"/>
        </w:rPr>
        <w:t>、北方狭口蛙、黑斑蛙</w:t>
      </w:r>
      <w:r>
        <w:rPr>
          <w:rFonts w:hint="default" w:ascii="Times New Roman" w:hAnsi="Times New Roman" w:eastAsia="宋体" w:cs="Times New Roman"/>
          <w:color w:val="auto"/>
          <w:sz w:val="28"/>
          <w:szCs w:val="28"/>
        </w:rPr>
        <w:t>等。</w:t>
      </w:r>
    </w:p>
    <w:p>
      <w:pPr>
        <w:pStyle w:val="3"/>
        <w:rPr>
          <w:rFonts w:hint="eastAsia"/>
        </w:rPr>
      </w:pPr>
      <w:bookmarkStart w:id="18" w:name="_Toc21006"/>
      <w:r>
        <w:rPr>
          <w:rFonts w:hint="eastAsia"/>
        </w:rPr>
        <w:t>第三节 社会经济概况</w:t>
      </w:r>
      <w:bookmarkEnd w:id="18"/>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台前县隶属河南省濮阳市，下辖6个镇、3个乡。包括侯庙镇、城关镇、孙口镇、打渔陈镇、吴坝镇、马楼镇、后方乡、清水河乡、夹河乡。全县总面积454平方公里，总人口37.64万。</w:t>
      </w:r>
    </w:p>
    <w:p>
      <w:pPr>
        <w:widowControl/>
        <w:adjustRightInd/>
        <w:snapToGrid/>
        <w:spacing w:line="360" w:lineRule="auto"/>
        <w:ind w:firstLine="560" w:firstLineChars="0"/>
        <w:jc w:val="both"/>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 xml:space="preserve">2019年，全县生产总值增长7.7％；规模以上工业增加值增长7.9％；固定资产投资增长20.7%；一般公共预算收入完成4.66亿元，增长15.8％；社会消费品零售总额43.97亿元，增长9.2％；居民人均可支配收入14213元，增长9.2%；农村居民人均可支配收入10677元，增长11%。 </w:t>
      </w:r>
    </w:p>
    <w:p>
      <w:pPr>
        <w:pStyle w:val="3"/>
        <w:rPr>
          <w:rFonts w:hint="eastAsia"/>
        </w:rPr>
      </w:pPr>
      <w:bookmarkStart w:id="19" w:name="_Toc21202"/>
      <w:r>
        <w:rPr>
          <w:rFonts w:hint="eastAsia"/>
        </w:rPr>
        <w:t>第四节 交通状况</w:t>
      </w:r>
      <w:bookmarkEnd w:id="19"/>
    </w:p>
    <w:p>
      <w:pPr>
        <w:pStyle w:val="4"/>
        <w:rPr>
          <w:rFonts w:hint="eastAsia" w:ascii="宋体" w:hAnsi="宋体" w:eastAsia="宋体" w:cs="宋体"/>
        </w:rPr>
      </w:pPr>
      <w:r>
        <w:rPr>
          <w:rFonts w:hint="eastAsia" w:ascii="宋体" w:hAnsi="宋体" w:eastAsia="宋体" w:cs="宋体"/>
        </w:rPr>
        <w:t>一、外部交通条件</w:t>
      </w:r>
    </w:p>
    <w:p>
      <w:pPr>
        <w:widowControl/>
        <w:adjustRightInd/>
        <w:snapToGrid/>
        <w:spacing w:line="360" w:lineRule="auto"/>
        <w:ind w:firstLine="560" w:firstLineChars="0"/>
        <w:jc w:val="both"/>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highlight w:val="none"/>
          <w:lang w:val="en-US" w:eastAsia="zh-CN"/>
        </w:rPr>
        <w:t>台前县隶属于河南省濮阳市，位于豫鲁两省交界处。</w:t>
      </w:r>
      <w:r>
        <w:rPr>
          <w:rFonts w:hint="eastAsia" w:ascii="Times New Roman" w:hAnsi="Times New Roman" w:eastAsia="宋体" w:cs="Times New Roman"/>
          <w:color w:val="auto"/>
          <w:sz w:val="28"/>
          <w:szCs w:val="28"/>
          <w:lang w:val="en-US" w:eastAsia="zh-CN"/>
        </w:rPr>
        <w:t>台前县三面与山东省的6个县（莘县、阳谷、东平、梁山、郓城、鄄城）接壤或隔河相望是河南省的东北门户。西连中原经济区，东接环渤海经济圈，是河南省距离天津港、青岛港、连云港、日照港最近的一个县。</w:t>
      </w:r>
    </w:p>
    <w:p>
      <w:pPr>
        <w:widowControl/>
        <w:adjustRightInd/>
        <w:snapToGrid/>
        <w:spacing w:line="360" w:lineRule="auto"/>
        <w:ind w:firstLine="560" w:firstLineChars="0"/>
        <w:jc w:val="both"/>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交通优势明显：京九铁路和晋豫鲁铁路在此</w:t>
      </w:r>
      <w:r>
        <w:rPr>
          <w:rFonts w:hint="eastAsia" w:eastAsia="宋体" w:cs="Times New Roman"/>
          <w:color w:val="auto"/>
          <w:sz w:val="28"/>
          <w:szCs w:val="28"/>
          <w:lang w:val="en-US" w:eastAsia="zh-CN"/>
        </w:rPr>
        <w:t>交汇</w:t>
      </w:r>
      <w:r>
        <w:rPr>
          <w:rFonts w:hint="eastAsia" w:ascii="Times New Roman" w:hAnsi="Times New Roman" w:eastAsia="宋体" w:cs="Times New Roman"/>
          <w:color w:val="auto"/>
          <w:sz w:val="28"/>
          <w:szCs w:val="28"/>
          <w:lang w:val="en-US" w:eastAsia="zh-CN"/>
        </w:rPr>
        <w:t>，形成铁路交通“十字架”；东西方向的G342和南北方向的S205贯穿全境，形成公路交通“十字架”；范辉高速至台前县城快速通道、范（县）台（前）梁（山）高速公路即将建成通车，孙口跨黄河公路大桥正在建设，京九高铁即将开工建设，并在台前设站，台前县的交通优势日益显现。</w:t>
      </w:r>
    </w:p>
    <w:p>
      <w:pPr>
        <w:widowControl/>
        <w:adjustRightInd/>
        <w:snapToGrid/>
        <w:spacing w:line="360" w:lineRule="auto"/>
        <w:ind w:firstLine="560" w:firstLineChars="0"/>
        <w:jc w:val="both"/>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公园涉及台前县城关镇、后方乡2个乡镇，与台前县城区联系紧密，交通便利。</w:t>
      </w:r>
    </w:p>
    <w:p>
      <w:pPr>
        <w:pStyle w:val="4"/>
        <w:rPr>
          <w:rFonts w:hint="eastAsia" w:ascii="宋体" w:hAnsi="宋体" w:eastAsia="宋体" w:cs="宋体"/>
        </w:rPr>
      </w:pPr>
      <w:r>
        <w:rPr>
          <w:rFonts w:hint="eastAsia" w:ascii="宋体" w:hAnsi="宋体" w:eastAsia="宋体" w:cs="宋体"/>
        </w:rPr>
        <w:t>二、内部交通条件</w:t>
      </w:r>
    </w:p>
    <w:p>
      <w:pPr>
        <w:widowControl/>
        <w:adjustRightInd/>
        <w:snapToGrid/>
        <w:spacing w:line="360" w:lineRule="auto"/>
        <w:ind w:firstLine="560" w:firstLineChars="0"/>
        <w:jc w:val="center"/>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公园车行道总长5.5公里，路宽6米。主园路为一环路，另有一条水泥路贯通南北，林间小道蜿蜒其中，自然式布置在各个林带之间。公园的内部交通方式主要以自驾车和步行为主，交通便捷。</w:t>
      </w:r>
    </w:p>
    <w:p>
      <w:pPr>
        <w:widowControl/>
        <w:adjustRightInd/>
        <w:snapToGrid/>
        <w:spacing w:line="360" w:lineRule="auto"/>
        <w:ind w:firstLine="560" w:firstLineChars="0"/>
        <w:jc w:val="center"/>
        <w:rPr>
          <w:rFonts w:hint="eastAsia" w:eastAsia="宋体" w:cs="Times New Roman"/>
          <w:color w:val="auto"/>
          <w:sz w:val="28"/>
          <w:szCs w:val="28"/>
          <w:lang w:val="en-US" w:eastAsia="zh-CN"/>
        </w:rPr>
      </w:pPr>
    </w:p>
    <w:p>
      <w:pPr>
        <w:pStyle w:val="3"/>
        <w:rPr>
          <w:rFonts w:hint="eastAsia"/>
          <w:lang w:val="en-US" w:eastAsia="zh-CN"/>
        </w:rPr>
      </w:pPr>
      <w:bookmarkStart w:id="20" w:name="_Toc27896"/>
      <w:r>
        <w:rPr>
          <w:rFonts w:hint="eastAsia"/>
          <w:lang w:val="en-US" w:eastAsia="zh-CN"/>
        </w:rPr>
        <w:t>第五节 历史沿革</w:t>
      </w:r>
      <w:bookmarkEnd w:id="20"/>
    </w:p>
    <w:p>
      <w:pPr>
        <w:widowControl/>
        <w:adjustRightInd/>
        <w:snapToGrid/>
        <w:spacing w:line="360" w:lineRule="auto"/>
        <w:ind w:firstLine="560" w:firstLineChars="0"/>
        <w:jc w:val="center"/>
        <w:rPr>
          <w:rFonts w:hint="eastAsia" w:ascii="Times New Roman" w:hAnsi="Times New Roman" w:eastAsia="黑体" w:cstheme="majorBidi"/>
          <w:bCs/>
          <w:kern w:val="2"/>
          <w:sz w:val="32"/>
          <w:szCs w:val="32"/>
          <w:lang w:val="en-US" w:eastAsia="zh-CN" w:bidi="ar-SA"/>
        </w:rPr>
      </w:pPr>
      <w:r>
        <w:rPr>
          <w:rFonts w:hint="eastAsia" w:eastAsia="宋体" w:cs="Times New Roman"/>
          <w:color w:val="auto"/>
          <w:sz w:val="28"/>
          <w:szCs w:val="28"/>
          <w:lang w:val="en-US" w:eastAsia="zh-CN"/>
        </w:rPr>
        <w:t>森林公园是在濮阳市国家储备林基地二期项目（台前县）的生态</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绿化造林工程基础上建立，根据河南省林业局文件《河南省林业局关于同意台</w:t>
      </w:r>
      <w:r>
        <w:rPr>
          <w:rFonts w:hint="eastAsia" w:eastAsia="宋体" w:cs="Times New Roman"/>
          <w:color w:val="auto"/>
          <w:sz w:val="28"/>
          <w:szCs w:val="28"/>
          <w:highlight w:val="none"/>
          <w:lang w:val="en-US" w:eastAsia="zh-CN"/>
        </w:rPr>
        <w:t>前县栖凤省级森林公园备案的意见》（豫林园〔2019〕172号），台前县西凤森林公园正式投入建设。</w:t>
      </w:r>
    </w:p>
    <w:p>
      <w:pPr>
        <w:pStyle w:val="3"/>
        <w:rPr>
          <w:rFonts w:hint="eastAsia"/>
        </w:rPr>
      </w:pPr>
      <w:bookmarkStart w:id="21" w:name="_Toc11745"/>
      <w:r>
        <w:rPr>
          <w:rFonts w:hint="eastAsia"/>
        </w:rPr>
        <w:t>第六节 森林公园建设与旅游现状</w:t>
      </w:r>
      <w:bookmarkEnd w:id="21"/>
    </w:p>
    <w:p>
      <w:pPr>
        <w:pStyle w:val="4"/>
        <w:rPr>
          <w:rFonts w:hint="eastAsia" w:ascii="宋体" w:hAnsi="宋体" w:eastAsia="宋体" w:cs="宋体"/>
          <w:lang w:val="en-US" w:eastAsia="zh-CN"/>
        </w:rPr>
      </w:pPr>
      <w:r>
        <w:rPr>
          <w:rFonts w:hint="eastAsia" w:ascii="宋体" w:hAnsi="宋体" w:eastAsia="宋体" w:cs="宋体"/>
          <w:lang w:val="en-US" w:eastAsia="zh-CN"/>
        </w:rPr>
        <w:t>一、管理机构概况</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森林公园管理机构为西凤森林公园管委会，隶属台前县自然资源局，管理人员11人，主要职责为统筹协调森林公园的资源保护、开发建设和经营管理。 </w:t>
      </w:r>
    </w:p>
    <w:p>
      <w:pPr>
        <w:pStyle w:val="4"/>
        <w:rPr>
          <w:rFonts w:hint="eastAsia" w:ascii="宋体" w:hAnsi="宋体" w:eastAsia="宋体" w:cs="宋体"/>
          <w:lang w:val="en-US" w:eastAsia="zh-CN"/>
        </w:rPr>
      </w:pPr>
      <w:r>
        <w:rPr>
          <w:rFonts w:hint="eastAsia" w:ascii="宋体" w:hAnsi="宋体" w:eastAsia="宋体" w:cs="宋体"/>
          <w:lang w:val="en-US" w:eastAsia="zh-CN"/>
        </w:rPr>
        <w:t>二、森林公园林地现状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范围内经营面积178.53公顷，其中：林地161.73公顷，占90.59%；建设用地面积3.81公顷；其他用地面积12.99公顷。林地主要是濮阳市国家储备林基地二期项目新造的人工乔木林，长势良好，枝繁叶茂，郁郁葱葱。</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pPr>
              <w:jc w:val="center"/>
              <w:rPr>
                <w:rFonts w:hint="default"/>
                <w:vertAlign w:val="baseline"/>
                <w:lang w:val="en-US" w:eastAsia="zh-CN"/>
              </w:rPr>
            </w:pPr>
            <w:r>
              <w:rPr>
                <w:rFonts w:hint="default"/>
                <w:vertAlign w:val="baseline"/>
                <w:lang w:val="en-US" w:eastAsia="zh-CN"/>
              </w:rPr>
              <w:drawing>
                <wp:inline distT="0" distB="0" distL="114300" distR="114300">
                  <wp:extent cx="4660900" cy="2665730"/>
                  <wp:effectExtent l="0" t="0" r="6350" b="1270"/>
                  <wp:docPr id="71" name="图片 71" descr="微信图片_2021042216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10422163617"/>
                          <pic:cNvPicPr>
                            <a:picLocks noChangeAspect="1"/>
                          </pic:cNvPicPr>
                        </pic:nvPicPr>
                        <pic:blipFill>
                          <a:blip r:embed="rId17"/>
                          <a:stretch>
                            <a:fillRect/>
                          </a:stretch>
                        </pic:blipFill>
                        <pic:spPr>
                          <a:xfrm>
                            <a:off x="0" y="0"/>
                            <a:ext cx="4660900" cy="2665730"/>
                          </a:xfrm>
                          <a:prstGeom prst="rect">
                            <a:avLst/>
                          </a:prstGeom>
                        </pic:spPr>
                      </pic:pic>
                    </a:graphicData>
                  </a:graphic>
                </wp:inline>
              </w:drawing>
            </w:r>
          </w:p>
        </w:tc>
      </w:tr>
    </w:tbl>
    <w:p>
      <w:pPr>
        <w:pStyle w:val="4"/>
        <w:rPr>
          <w:rFonts w:hint="default" w:ascii="宋体" w:hAnsi="宋体" w:eastAsia="宋体" w:cs="宋体"/>
          <w:lang w:val="en-US" w:eastAsia="zh-CN"/>
        </w:rPr>
      </w:pPr>
      <w:r>
        <w:rPr>
          <w:rFonts w:hint="eastAsia" w:ascii="宋体" w:hAnsi="宋体" w:eastAsia="宋体" w:cs="宋体"/>
          <w:lang w:val="en-US" w:eastAsia="zh-CN"/>
        </w:rPr>
        <w:t>三、基础设施建设情况</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（一）供电与通讯</w:t>
      </w:r>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公园内接入台前县电网，相关服务设施都已通电，建有配电箱和照明用灯。公园范围内中国电信、移动、联通通讯网络已全面覆盖，信号稳定，固定电话、移动通讯通畅无阻。</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（二）供水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公园与城市供水网络连接，已建灌溉供水系统，能满足该区域的供水需要。</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eastAsia="zh-CN"/>
        </w:rPr>
      </w:pPr>
      <w:r>
        <w:rPr>
          <w:rFonts w:hint="eastAsia" w:eastAsia="楷体" w:cs="Times New Roman"/>
          <w:b/>
          <w:bCs/>
          <w:color w:val="auto"/>
          <w:sz w:val="28"/>
          <w:szCs w:val="28"/>
        </w:rPr>
        <w:t>（</w:t>
      </w:r>
      <w:r>
        <w:rPr>
          <w:rFonts w:hint="eastAsia" w:eastAsia="楷体" w:cs="Times New Roman"/>
          <w:b/>
          <w:bCs/>
          <w:color w:val="auto"/>
          <w:sz w:val="28"/>
          <w:szCs w:val="28"/>
          <w:lang w:val="en-US" w:eastAsia="zh-CN"/>
        </w:rPr>
        <w:t>三</w:t>
      </w:r>
      <w:r>
        <w:rPr>
          <w:rFonts w:hint="eastAsia" w:eastAsia="楷体" w:cs="Times New Roman"/>
          <w:b/>
          <w:bCs/>
          <w:color w:val="auto"/>
          <w:sz w:val="28"/>
          <w:szCs w:val="28"/>
        </w:rPr>
        <w:t>）</w:t>
      </w:r>
      <w:r>
        <w:rPr>
          <w:rFonts w:hint="eastAsia" w:eastAsia="楷体" w:cs="Times New Roman"/>
          <w:b/>
          <w:bCs/>
          <w:color w:val="auto"/>
          <w:sz w:val="28"/>
          <w:szCs w:val="28"/>
          <w:lang w:val="en-US" w:eastAsia="zh-CN"/>
        </w:rPr>
        <w:t>服务设施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已建设停车场1个，共有停车位80个；建设集管理、灌溉、厕所、防火等功能的综合用房5处；集散休憩广场5个，包括1个主广场，1个滨水广场，3个小广场，并在广场内建有少量座椅等休憩设施，广场铺装总面积4400平方米。</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56"/>
        <w:gridCol w:w="41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Pr>
          <w:p>
            <w:pPr>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28900" cy="1971675"/>
                  <wp:effectExtent l="0" t="0" r="0" b="9525"/>
                  <wp:docPr id="72" name="图片 72" descr="微信图片_2021042216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10422163907"/>
                          <pic:cNvPicPr>
                            <a:picLocks noChangeAspect="1"/>
                          </pic:cNvPicPr>
                        </pic:nvPicPr>
                        <pic:blipFill>
                          <a:blip r:embed="rId18"/>
                          <a:stretch>
                            <a:fillRect/>
                          </a:stretch>
                        </pic:blipFill>
                        <pic:spPr>
                          <a:xfrm>
                            <a:off x="0" y="0"/>
                            <a:ext cx="2628900" cy="1971675"/>
                          </a:xfrm>
                          <a:prstGeom prst="rect">
                            <a:avLst/>
                          </a:prstGeom>
                        </pic:spPr>
                      </pic:pic>
                    </a:graphicData>
                  </a:graphic>
                </wp:inline>
              </w:drawing>
            </w:r>
          </w:p>
        </w:tc>
        <w:tc>
          <w:tcPr>
            <w:tcW w:w="4261" w:type="dxa"/>
          </w:tcPr>
          <w:p>
            <w:pPr>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410460" cy="1974215"/>
                  <wp:effectExtent l="0" t="0" r="8890" b="6985"/>
                  <wp:docPr id="73" name="图片 73" descr="微信图片_202104221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10422163855"/>
                          <pic:cNvPicPr>
                            <a:picLocks noChangeAspect="1"/>
                          </pic:cNvPicPr>
                        </pic:nvPicPr>
                        <pic:blipFill>
                          <a:blip r:embed="rId19"/>
                          <a:srcRect t="22068"/>
                          <a:stretch>
                            <a:fillRect/>
                          </a:stretch>
                        </pic:blipFill>
                        <pic:spPr>
                          <a:xfrm>
                            <a:off x="0" y="0"/>
                            <a:ext cx="2410460" cy="1974215"/>
                          </a:xfrm>
                          <a:prstGeom prst="rect">
                            <a:avLst/>
                          </a:prstGeom>
                        </pic:spPr>
                      </pic:pic>
                    </a:graphicData>
                  </a:graphic>
                </wp:inline>
              </w:drawing>
            </w:r>
          </w:p>
        </w:tc>
      </w:tr>
    </w:tbl>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w:t>
      </w:r>
      <w:r>
        <w:rPr>
          <w:rFonts w:hint="eastAsia" w:eastAsia="楷体" w:cs="Times New Roman"/>
          <w:b/>
          <w:bCs/>
          <w:color w:val="auto"/>
          <w:sz w:val="28"/>
          <w:szCs w:val="28"/>
          <w:lang w:val="en-US" w:eastAsia="zh-CN"/>
        </w:rPr>
        <w:t>四</w:t>
      </w:r>
      <w:r>
        <w:rPr>
          <w:rFonts w:hint="eastAsia" w:eastAsia="楷体" w:cs="Times New Roman"/>
          <w:b/>
          <w:bCs/>
          <w:color w:val="auto"/>
          <w:sz w:val="28"/>
          <w:szCs w:val="28"/>
        </w:rPr>
        <w:t>）接待设施</w:t>
      </w:r>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目前公园内没有设立接待设施，但位于城郊地带，距离县城较近，接待能力较强。</w:t>
      </w:r>
    </w:p>
    <w:p>
      <w:pPr>
        <w:pStyle w:val="4"/>
        <w:rPr>
          <w:rFonts w:hint="eastAsia" w:ascii="宋体" w:hAnsi="宋体" w:eastAsia="宋体" w:cs="宋体"/>
          <w:lang w:val="en-US" w:eastAsia="zh-CN"/>
        </w:rPr>
      </w:pPr>
      <w:r>
        <w:rPr>
          <w:rFonts w:hint="eastAsia" w:ascii="宋体" w:hAnsi="宋体" w:eastAsia="宋体" w:cs="宋体"/>
          <w:lang w:val="en-US" w:eastAsia="zh-CN"/>
        </w:rPr>
        <w:t>四、旅游开发现状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发展定位为一个城郊森林公园，目前游客主要为台前县及其周边地区居民，每日早晨或傍晚来此锻炼、休闲。随着城市的建设和发展，公园内逐步建设了休闲文化广场供居民集散、休憩；并建设了滨水景观栈道，沿公园内部河流蜿蜒曲折，可供居民散步的同时沿河饱览森林美景，体验城市中的这一片宁静的生态氧吧。但公园开发时间较晚，目前仍在进一步规划建设之中。总体来看，随着森林公园的基础设施、生态设施、健身游憩设施的不断建设完善，其城郊公园的属性将进一步加强，不仅能满足城镇及周边居民的休闲、娱乐需求，增强居民的生态福祉，更加能够吸引整个濮阳市乃至华北、全国地区的游客慕名而来，感受城郊森林公园的独特魅力。</w:t>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22" w:name="_Toc20228"/>
      <w:r>
        <w:rPr>
          <w:rFonts w:hint="eastAsia" w:cs="Times New Roman"/>
          <w:b w:val="0"/>
          <w:bCs w:val="0"/>
          <w:i w:val="0"/>
          <w:iCs/>
          <w:color w:val="auto"/>
          <w:kern w:val="44"/>
          <w:szCs w:val="44"/>
        </w:rPr>
        <w:t>第二章 风景资源质量评价</w:t>
      </w:r>
      <w:bookmarkEnd w:id="22"/>
    </w:p>
    <w:p>
      <w:pPr>
        <w:pStyle w:val="3"/>
        <w:rPr>
          <w:rFonts w:hint="eastAsia"/>
        </w:rPr>
      </w:pPr>
      <w:bookmarkStart w:id="23" w:name="_Toc18998"/>
      <w:r>
        <w:rPr>
          <w:rFonts w:hint="eastAsia"/>
        </w:rPr>
        <w:t xml:space="preserve">第一节 </w:t>
      </w:r>
      <w:r>
        <w:rPr>
          <w:rFonts w:hint="eastAsia"/>
          <w:lang w:val="en-US" w:eastAsia="zh-CN"/>
        </w:rPr>
        <w:t>森林</w:t>
      </w:r>
      <w:r>
        <w:rPr>
          <w:rFonts w:hint="eastAsia"/>
        </w:rPr>
        <w:t>风景资源质量评价</w:t>
      </w:r>
      <w:bookmarkEnd w:id="23"/>
    </w:p>
    <w:p>
      <w:pPr>
        <w:pStyle w:val="4"/>
        <w:rPr>
          <w:rFonts w:hint="eastAsia" w:ascii="宋体" w:hAnsi="宋体" w:eastAsia="宋体" w:cs="宋体"/>
          <w:lang w:val="en-US" w:eastAsia="zh-CN"/>
        </w:rPr>
      </w:pPr>
      <w:r>
        <w:rPr>
          <w:rFonts w:hint="eastAsia" w:ascii="宋体" w:hAnsi="宋体" w:eastAsia="宋体" w:cs="宋体"/>
          <w:lang w:val="en-US" w:eastAsia="zh-CN"/>
        </w:rPr>
        <w:t>一、森林风景资源调查</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风景资源是指森林资源及其环境要素中凡能对旅游者产生吸引力，具有保护或旅游开发利用价值，并可产生相应的社会效益、经济效益和环境效益的各种物质和因素，包括生物景观资源、地文景观资源、水文景观资源、天象景观资源、人文景观资源以及可借景观资源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24" w:name="_Toc12960069"/>
      <w:bookmarkStart w:id="25" w:name="_Toc25915652"/>
      <w:r>
        <w:rPr>
          <w:rFonts w:hint="eastAsia" w:eastAsia="楷体" w:cs="Times New Roman"/>
          <w:b/>
          <w:bCs/>
          <w:color w:val="auto"/>
          <w:sz w:val="28"/>
          <w:szCs w:val="28"/>
        </w:rPr>
        <w:t>（一）生物景观资源</w:t>
      </w:r>
      <w:bookmarkEnd w:id="24"/>
      <w:bookmarkEnd w:id="25"/>
    </w:p>
    <w:p>
      <w:pPr>
        <w:widowControl/>
        <w:adjustRightInd/>
        <w:snapToGrid/>
        <w:spacing w:line="360" w:lineRule="auto"/>
        <w:ind w:firstLine="560" w:firstLineChars="0"/>
        <w:jc w:val="both"/>
        <w:rPr>
          <w:rFonts w:hint="eastAsia" w:eastAsia="宋体" w:cs="Times New Roman"/>
          <w:color w:val="auto"/>
          <w:sz w:val="28"/>
          <w:szCs w:val="28"/>
          <w:lang w:val="en-US" w:eastAsia="zh-CN"/>
        </w:rPr>
      </w:pPr>
      <w:bookmarkStart w:id="26" w:name="_Toc12960070"/>
      <w:r>
        <w:rPr>
          <w:rFonts w:hint="eastAsia" w:eastAsia="宋体" w:cs="Times New Roman"/>
          <w:color w:val="auto"/>
          <w:sz w:val="28"/>
          <w:szCs w:val="28"/>
          <w:lang w:val="en-US" w:eastAsia="zh-CN"/>
        </w:rPr>
        <w:t>1.森林植被景观</w:t>
      </w:r>
      <w:bookmarkEnd w:id="26"/>
    </w:p>
    <w:p>
      <w:pPr>
        <w:widowControl/>
        <w:adjustRightInd/>
        <w:snapToGrid/>
        <w:spacing w:line="360" w:lineRule="auto"/>
        <w:ind w:firstLine="560" w:firstLineChars="0"/>
        <w:jc w:val="both"/>
        <w:rPr>
          <w:rFonts w:hint="eastAsia" w:eastAsia="宋体" w:cs="Times New Roman"/>
          <w:color w:val="auto"/>
          <w:sz w:val="28"/>
          <w:szCs w:val="28"/>
          <w:highlight w:val="yellow"/>
          <w:lang w:val="en-US" w:eastAsia="zh-CN"/>
        </w:rPr>
      </w:pPr>
      <w:r>
        <w:rPr>
          <w:rFonts w:hint="eastAsia" w:eastAsia="宋体" w:cs="Times New Roman"/>
          <w:color w:val="auto"/>
          <w:sz w:val="28"/>
          <w:szCs w:val="28"/>
          <w:lang w:val="en-US" w:eastAsia="zh-CN"/>
        </w:rPr>
        <w:t>公园处于黄河冲积平原地带，地势平坦，平均海拔40米左右。因此森林公园内植被类型无垂直分布的差异性。植被类型主要以温带落叶阔叶林为主，搭配一些常绿乔木。具体植被景观分布以河流为序列，向两侧扩展，主要有灌草丛群落景观带、针叶林景观带、阔叶林景观带以及珍贵彩色阔叶林景观带。</w:t>
      </w:r>
      <w:r>
        <w:rPr>
          <w:rFonts w:hint="eastAsia" w:eastAsia="宋体" w:cs="Times New Roman"/>
          <w:color w:val="auto"/>
          <w:sz w:val="28"/>
          <w:szCs w:val="28"/>
          <w:highlight w:val="none"/>
          <w:lang w:val="en-US" w:eastAsia="zh-CN"/>
        </w:rPr>
        <w:t>这些林带使得台前县西凤省级森林公园春意阑珊、夏树苍翠、秋果累累，好一番四时美景。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（1）灌草丛群落景观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园内设置集旅游、摄影，休闲娱乐活动为主题的花圃彩田，集合公园中大部分的参与性、互动性景观设施，并以香草植物为主题，种植香草观赏田。</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widowControl/>
              <w:ind w:left="0" w:leftChars="0" w:firstLine="0" w:firstLineChars="0"/>
              <w:jc w:val="both"/>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219065" cy="1922780"/>
                  <wp:effectExtent l="0" t="0" r="635" b="1270"/>
                  <wp:docPr id="57" name="图片 5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1"/>
                          <pic:cNvPicPr>
                            <a:picLocks noChangeAspect="1"/>
                          </pic:cNvPicPr>
                        </pic:nvPicPr>
                        <pic:blipFill>
                          <a:blip r:embed="rId20"/>
                          <a:stretch>
                            <a:fillRect/>
                          </a:stretch>
                        </pic:blipFill>
                        <pic:spPr>
                          <a:xfrm>
                            <a:off x="0" y="0"/>
                            <a:ext cx="5219065" cy="1922780"/>
                          </a:xfrm>
                          <a:prstGeom prst="rect">
                            <a:avLst/>
                          </a:prstGeom>
                        </pic:spPr>
                      </pic:pic>
                    </a:graphicData>
                  </a:graphic>
                </wp:inline>
              </w:drawing>
            </w:r>
          </w:p>
        </w:tc>
      </w:tr>
    </w:tbl>
    <w:p>
      <w:pPr>
        <w:widowControl/>
        <w:ind w:left="0" w:leftChars="0" w:firstLine="0" w:firstLineChars="0"/>
        <w:jc w:val="left"/>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（2）针叶林景观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公园内种植了水杉、中山杉、黑松、油松等，并设有景观水面、湿地鸟岛，为公园提供优越的环境条件，结合水岸，设置杉林寻鹭，形成以水杉为主的植物观赏园。</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49" w:type="dxa"/>
          </w:tcPr>
          <w:p>
            <w:pPr>
              <w:widowControl/>
              <w:ind w:left="0" w:leftChars="0" w:firstLine="0" w:firstLineChars="0"/>
              <w:jc w:val="center"/>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151120" cy="2512695"/>
                  <wp:effectExtent l="0" t="0" r="11430" b="1905"/>
                  <wp:docPr id="69" name="图片 69" descr="微信图片_2021042216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10422160605"/>
                          <pic:cNvPicPr>
                            <a:picLocks noChangeAspect="1"/>
                          </pic:cNvPicPr>
                        </pic:nvPicPr>
                        <pic:blipFill>
                          <a:blip r:embed="rId21"/>
                          <a:srcRect b="14295"/>
                          <a:stretch>
                            <a:fillRect/>
                          </a:stretch>
                        </pic:blipFill>
                        <pic:spPr>
                          <a:xfrm>
                            <a:off x="0" y="0"/>
                            <a:ext cx="5151120" cy="2512695"/>
                          </a:xfrm>
                          <a:prstGeom prst="rect">
                            <a:avLst/>
                          </a:prstGeom>
                        </pic:spPr>
                      </pic:pic>
                    </a:graphicData>
                  </a:graphic>
                </wp:inline>
              </w:drawing>
            </w:r>
          </w:p>
        </w:tc>
      </w:tr>
    </w:tbl>
    <w:p>
      <w:pPr>
        <w:widowControl/>
        <w:ind w:firstLine="0" w:firstLineChars="0"/>
        <w:jc w:val="center"/>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（3）阔叶林景观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公园内有核桃、杜仲、银杏等有经济价值的种植园，搭配生态农业作物，形成新型农业体验区，推动地方休闲旅游经济。</w:t>
      </w:r>
    </w:p>
    <w:p>
      <w:pPr>
        <w:widowControl/>
        <w:ind w:firstLine="560"/>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74" w:type="dxa"/>
          </w:tcPr>
          <w:p>
            <w:pPr>
              <w:widowControl/>
              <w:ind w:left="0" w:leftChars="0" w:firstLine="0" w:firstLineChars="0"/>
              <w:jc w:val="both"/>
              <w:rPr>
                <w:rFonts w:hint="eastAsia" w:eastAsia="仿宋"/>
                <w:vertAlign w:val="baseline"/>
                <w:lang w:eastAsia="zh-CN"/>
              </w:rPr>
            </w:pPr>
            <w:r>
              <w:rPr>
                <w:rFonts w:hint="eastAsia" w:eastAsia="仿宋"/>
                <w:vertAlign w:val="baseline"/>
                <w:lang w:eastAsia="zh-CN"/>
              </w:rPr>
              <w:drawing>
                <wp:inline distT="0" distB="0" distL="114300" distR="114300">
                  <wp:extent cx="5118735" cy="2261235"/>
                  <wp:effectExtent l="0" t="0" r="5715" b="5715"/>
                  <wp:docPr id="61" name="图片 6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1"/>
                          <pic:cNvPicPr>
                            <a:picLocks noChangeAspect="1"/>
                          </pic:cNvPicPr>
                        </pic:nvPicPr>
                        <pic:blipFill>
                          <a:blip r:embed="rId22"/>
                          <a:stretch>
                            <a:fillRect/>
                          </a:stretch>
                        </pic:blipFill>
                        <pic:spPr>
                          <a:xfrm>
                            <a:off x="0" y="0"/>
                            <a:ext cx="5118735" cy="2261235"/>
                          </a:xfrm>
                          <a:prstGeom prst="rect">
                            <a:avLst/>
                          </a:prstGeom>
                        </pic:spPr>
                      </pic:pic>
                    </a:graphicData>
                  </a:graphic>
                </wp:inline>
              </w:drawing>
            </w:r>
          </w:p>
        </w:tc>
      </w:tr>
    </w:tbl>
    <w:p>
      <w:pPr>
        <w:widowControl/>
        <w:ind w:firstLine="0" w:firstLineChars="0"/>
        <w:jc w:val="both"/>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（4）珍贵彩色阔叶林景观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公园结合道路，在两侧区域内建设以春秋观赏植物为主的植物观赏园。“春雨芬芳”突出春季观花植物，以樱桃、海棠等为主；“秋色如染”突出秋季观叶植物，如悬铃木、银杏等。</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59" w:type="dxa"/>
          </w:tcPr>
          <w:p>
            <w:pPr>
              <w:widowControl/>
              <w:ind w:left="0" w:leftChars="0" w:firstLine="0" w:firstLineChars="0"/>
              <w:jc w:val="both"/>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129530" cy="2865120"/>
                  <wp:effectExtent l="0" t="0" r="13970" b="11430"/>
                  <wp:docPr id="66" name="图片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
                          <pic:cNvPicPr>
                            <a:picLocks noChangeAspect="1"/>
                          </pic:cNvPicPr>
                        </pic:nvPicPr>
                        <pic:blipFill>
                          <a:blip r:embed="rId23"/>
                          <a:srcRect b="6018"/>
                          <a:stretch>
                            <a:fillRect/>
                          </a:stretch>
                        </pic:blipFill>
                        <pic:spPr>
                          <a:xfrm>
                            <a:off x="0" y="0"/>
                            <a:ext cx="5129530" cy="2865120"/>
                          </a:xfrm>
                          <a:prstGeom prst="rect">
                            <a:avLst/>
                          </a:prstGeom>
                        </pic:spPr>
                      </pic:pic>
                    </a:graphicData>
                  </a:graphic>
                </wp:inline>
              </w:drawing>
            </w:r>
          </w:p>
        </w:tc>
      </w:tr>
    </w:tbl>
    <w:p>
      <w:pPr>
        <w:widowControl/>
        <w:ind w:firstLine="0" w:firstLineChars="0"/>
        <w:jc w:val="center"/>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bookmarkStart w:id="27" w:name="_Toc12960071"/>
      <w:r>
        <w:rPr>
          <w:rFonts w:hint="eastAsia" w:eastAsia="宋体" w:cs="Times New Roman"/>
          <w:color w:val="auto"/>
          <w:sz w:val="28"/>
          <w:szCs w:val="28"/>
          <w:lang w:val="en-US" w:eastAsia="zh-CN"/>
        </w:rPr>
        <w:t>2.森林植物景观</w:t>
      </w:r>
      <w:bookmarkEnd w:id="27"/>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（1）悬铃木林带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悬铃木科，悬铃木属。落叶大乔木。分布在全园各处，面积约12.0公顷。悬铃木的树干笔直、挺拔，树皮随着生长层层剥落，露出光滑、斑驳的树干，使其与其他园林树种相比别具一格。剥落的树皮代表岁月的更替和时间的流逝，给人一种怀旧的情怀。袒露出的新皮又象征着新鲜事物的诞生。同时，斑驳的痕迹正是新旧事物在交替过程中留下的烙印。</w:t>
      </w:r>
    </w:p>
    <w:p>
      <w:pPr>
        <w:widowControl/>
        <w:adjustRightInd/>
        <w:snapToGrid/>
        <w:spacing w:line="360" w:lineRule="auto"/>
        <w:ind w:firstLine="560" w:firstLineChars="0"/>
        <w:jc w:val="both"/>
        <w:rPr>
          <w:rFonts w:hint="eastAsia"/>
          <w:color w:val="000000"/>
          <w:szCs w:val="28"/>
        </w:rPr>
      </w:pPr>
      <w:r>
        <w:rPr>
          <w:rFonts w:hint="eastAsia" w:eastAsia="宋体" w:cs="Times New Roman"/>
          <w:color w:val="auto"/>
          <w:sz w:val="28"/>
          <w:szCs w:val="28"/>
          <w:lang w:val="en-US" w:eastAsia="zh-CN"/>
        </w:rPr>
        <w:t>悬铃木的果实呈球形，9~10月成熟，黄褐色。球果经冬不落，因此在北方为乏味的冬季带来一些有趣的景观。尤其在雪后，一颗颗果球上堆着的雪，像是给他们戴了顶顶白帽子，十分可爱。果球通常会在次年4、5月份脱落，可收集制作成装饰品。但由于球果开裂后会有星状毛飞出，易引起呼吸道疾病。因此，在收集后，要经过处理，防止其开裂。</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64" w:type="dxa"/>
          </w:tcPr>
          <w:p>
            <w:pPr>
              <w:ind w:left="0" w:leftChars="0" w:firstLine="0" w:firstLineChars="0"/>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153025" cy="3092450"/>
                  <wp:effectExtent l="0" t="0" r="9525" b="12700"/>
                  <wp:docPr id="64" name="图片 6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1"/>
                          <pic:cNvPicPr>
                            <a:picLocks noChangeAspect="1"/>
                          </pic:cNvPicPr>
                        </pic:nvPicPr>
                        <pic:blipFill>
                          <a:blip r:embed="rId24"/>
                          <a:stretch>
                            <a:fillRect/>
                          </a:stretch>
                        </pic:blipFill>
                        <pic:spPr>
                          <a:xfrm>
                            <a:off x="0" y="0"/>
                            <a:ext cx="5153025" cy="3092450"/>
                          </a:xfrm>
                          <a:prstGeom prst="rect">
                            <a:avLst/>
                          </a:prstGeom>
                        </pic:spPr>
                      </pic:pic>
                    </a:graphicData>
                  </a:graphic>
                </wp:inline>
              </w:drawing>
            </w:r>
          </w:p>
        </w:tc>
      </w:tr>
    </w:tbl>
    <w:p>
      <w:pPr>
        <w:ind w:firstLine="560"/>
        <w:rPr>
          <w:rFonts w:hint="eastAsia" w:eastAsia="仿宋"/>
          <w:color w:val="000000"/>
          <w:szCs w:val="28"/>
          <w:lang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（2）柳树林带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落叶乔木，为杨柳科、柳属乔木。主要呈带状分布在森林公园南部河流两岸，面积约12.3公顷。</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柳树枝条柔软，树冠丰满，是中国北方常用的庭荫树、行道树。常栽培在河湖岸边或孤植于草坪</w:t>
      </w:r>
      <w:r>
        <w:rPr>
          <w:rFonts w:hint="eastAsia" w:eastAsia="宋体" w:cs="Times New Roman"/>
          <w:color w:val="auto"/>
          <w:sz w:val="28"/>
          <w:szCs w:val="28"/>
          <w:highlight w:val="none"/>
          <w:lang w:val="en-US" w:eastAsia="zh-CN"/>
        </w:rPr>
        <w:t>。亦用作防</w:t>
      </w:r>
      <w:r>
        <w:rPr>
          <w:rFonts w:hint="eastAsia" w:eastAsia="宋体" w:cs="Times New Roman"/>
          <w:color w:val="auto"/>
          <w:sz w:val="28"/>
          <w:szCs w:val="28"/>
          <w:lang w:val="en-US" w:eastAsia="zh-CN"/>
        </w:rPr>
        <w:t>护林及农村“四旁”绿化等</w:t>
      </w:r>
      <w:r>
        <w:rPr>
          <w:rFonts w:hint="eastAsia" w:eastAsia="宋体" w:cs="Times New Roman"/>
          <w:color w:val="auto"/>
          <w:sz w:val="28"/>
          <w:szCs w:val="28"/>
          <w:highlight w:val="none"/>
          <w:lang w:val="en-US" w:eastAsia="zh-CN"/>
        </w:rPr>
        <w:t>，亦可作用材树种。</w:t>
      </w:r>
      <w:r>
        <w:rPr>
          <w:rFonts w:hint="eastAsia" w:eastAsia="宋体" w:cs="Times New Roman"/>
          <w:color w:val="auto"/>
          <w:sz w:val="28"/>
          <w:szCs w:val="28"/>
          <w:lang w:val="en-US" w:eastAsia="zh-CN"/>
        </w:rPr>
        <w:t>树形美，易繁殖，深为人们喜爱。其柔软嫩绿的枝条、丰满的树冠及稍加修剪的树姿，更加美观。适合于庭前、道旁、河堤、溪畔、草坪栽植。在北方园林，柳属的一些绿化树种是落叶树种中绿期最长的一种。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内沿河两岸栽植，水面波光粼粼，岸上柳树依依，犹如西湖苏堤。河边柳树垂下了身子，长长的柳枝没入水中，隐隐看见几片嫩绿的柳叶。明亮的河面倒映出柳树的影子，像是一位亭亭玉立的少女在静静地梳洗秀发。岸边绿树成荫，草地上，嫩嫩的小草顺着微风飘来淡淡清香，让人不禁眯着眼享受起来，多么惬意！</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pPr>
              <w:ind w:left="0" w:leftChars="0" w:firstLine="0" w:firstLineChars="0"/>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237480" cy="2630805"/>
                  <wp:effectExtent l="0" t="0" r="1270" b="17145"/>
                  <wp:docPr id="67" name="图片 67" descr="src=http _bbs-fd.zol-img.com.cn_t_s1200x5000_g1_M06_07_09_Cg-4jVMYThmIRnGSABaE8dE8hnEAAKeBAJqeZkAFoUJ550.jpg&amp;refer=http _bbs-fd.zol-img.com.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src=http _bbs-fd.zol-img.com.cn_t_s1200x5000_g1_M06_07_09_Cg-4jVMYThmIRnGSABaE8dE8hnEAAKeBAJqeZkAFoUJ550.jpg&amp;refer=http _bbs-fd.zol-img.com.cn&amp;app=2002&amp;size=f9999,10000&amp;q=a80&amp;n=0&amp;g=0n&amp;fmt=jpeg"/>
                          <pic:cNvPicPr>
                            <a:picLocks noChangeAspect="1"/>
                          </pic:cNvPicPr>
                        </pic:nvPicPr>
                        <pic:blipFill>
                          <a:blip r:embed="rId25"/>
                          <a:stretch>
                            <a:fillRect/>
                          </a:stretch>
                        </pic:blipFill>
                        <pic:spPr>
                          <a:xfrm>
                            <a:off x="0" y="0"/>
                            <a:ext cx="5237480" cy="2630805"/>
                          </a:xfrm>
                          <a:prstGeom prst="rect">
                            <a:avLst/>
                          </a:prstGeom>
                        </pic:spPr>
                      </pic:pic>
                    </a:graphicData>
                  </a:graphic>
                </wp:inline>
              </w:drawing>
            </w:r>
          </w:p>
        </w:tc>
      </w:tr>
    </w:tbl>
    <w:p>
      <w:pPr>
        <w:ind w:firstLine="560"/>
        <w:rPr>
          <w:color w:val="000000"/>
          <w:szCs w:val="28"/>
        </w:rPr>
      </w:pPr>
    </w:p>
    <w:p>
      <w:pPr>
        <w:ind w:firstLine="560"/>
        <w:rPr>
          <w:color w:val="000000"/>
          <w:szCs w:val="28"/>
        </w:rPr>
      </w:pPr>
    </w:p>
    <w:p>
      <w:pPr>
        <w:ind w:firstLine="560"/>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（3）银杏林带</w:t>
      </w:r>
    </w:p>
    <w:p>
      <w:pPr>
        <w:widowControl/>
        <w:adjustRightInd/>
        <w:snapToGrid/>
        <w:spacing w:line="360" w:lineRule="auto"/>
        <w:ind w:firstLine="560" w:firstLineChars="0"/>
        <w:jc w:val="both"/>
        <w:rPr>
          <w:rFonts w:hint="eastAsia" w:eastAsia="宋体" w:cs="Times New Roman"/>
          <w:color w:val="auto"/>
          <w:sz w:val="28"/>
          <w:szCs w:val="28"/>
          <w:highlight w:val="yellow"/>
          <w:lang w:val="en-US" w:eastAsia="zh-CN"/>
        </w:rPr>
      </w:pPr>
      <w:r>
        <w:rPr>
          <w:rFonts w:hint="eastAsia" w:eastAsia="宋体" w:cs="Times New Roman"/>
          <w:color w:val="auto"/>
          <w:sz w:val="28"/>
          <w:szCs w:val="28"/>
          <w:lang w:val="en-US" w:eastAsia="zh-CN"/>
        </w:rPr>
        <w:t>银杏为落叶乔木，雌雄异株，叶片成扇形。在公园北部与中部都有种植，面积约6.0公顷。因生长周期长，又称公孙树，树龄可达千年以上。树叶可入药，具有防治心脑血管疾病、抗病毒、消炎、延缓衰老和美容等治疗和保健作用。果实壳白色，果仁似杏仁，故名银杏，又名白果。果仁可食用，亦可入药。树体高大，树干通直，姿态优美，为理想的园林绿化树种、观赏树种和行道树种。防火、耐烟、抗辐射，适应</w:t>
      </w:r>
      <w:r>
        <w:rPr>
          <w:rFonts w:hint="eastAsia" w:eastAsia="宋体" w:cs="Times New Roman"/>
          <w:color w:val="auto"/>
          <w:sz w:val="28"/>
          <w:szCs w:val="28"/>
          <w:highlight w:val="none"/>
          <w:lang w:val="en-US" w:eastAsia="zh-CN"/>
        </w:rPr>
        <w:t>性强、繁殖能力强。极具观赏，经济，药用价值。</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pPr>
              <w:ind w:left="0" w:leftChars="0" w:firstLine="0" w:firstLineChars="0"/>
              <w:jc w:val="center"/>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162550" cy="2854325"/>
                  <wp:effectExtent l="0" t="0" r="0" b="3175"/>
                  <wp:docPr id="68" name="图片 6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2"/>
                          <pic:cNvPicPr>
                            <a:picLocks noChangeAspect="1"/>
                          </pic:cNvPicPr>
                        </pic:nvPicPr>
                        <pic:blipFill>
                          <a:blip r:embed="rId26"/>
                          <a:stretch>
                            <a:fillRect/>
                          </a:stretch>
                        </pic:blipFill>
                        <pic:spPr>
                          <a:xfrm>
                            <a:off x="0" y="0"/>
                            <a:ext cx="5162550" cy="2854325"/>
                          </a:xfrm>
                          <a:prstGeom prst="rect">
                            <a:avLst/>
                          </a:prstGeom>
                        </pic:spPr>
                      </pic:pic>
                    </a:graphicData>
                  </a:graphic>
                </wp:inline>
              </w:drawing>
            </w:r>
          </w:p>
        </w:tc>
      </w:tr>
    </w:tbl>
    <w:p>
      <w:pPr>
        <w:ind w:firstLine="560"/>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bookmarkStart w:id="28" w:name="_Toc12960073"/>
      <w:r>
        <w:rPr>
          <w:rFonts w:hint="eastAsia" w:eastAsia="宋体" w:cs="Times New Roman"/>
          <w:color w:val="auto"/>
          <w:sz w:val="28"/>
          <w:szCs w:val="28"/>
          <w:lang w:val="en-US" w:eastAsia="zh-CN"/>
        </w:rPr>
        <w:t>3.野生动物景观</w:t>
      </w:r>
      <w:bookmarkEnd w:id="28"/>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公园良好的生态环境为动物繁衍栖息创造了良好的条件，园内现有野生动物种类较多；水潭中可见虾、鱼等；蝴蝶、蜻蜓等随处可见；不时可见鸟类从身边的草丛中飞走；为园区构成一道靓丽活泼的风景线。</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29" w:name="_Toc25915653"/>
      <w:bookmarkStart w:id="30" w:name="_Toc12960074"/>
      <w:r>
        <w:rPr>
          <w:rFonts w:hint="eastAsia" w:eastAsia="楷体" w:cs="Times New Roman"/>
          <w:b/>
          <w:bCs/>
          <w:color w:val="auto"/>
          <w:sz w:val="28"/>
          <w:szCs w:val="28"/>
        </w:rPr>
        <w:t>（二）地文景观资源</w:t>
      </w:r>
      <w:bookmarkEnd w:id="29"/>
      <w:bookmarkEnd w:id="30"/>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公园北部毗邻金堤河，位于金堤河畔南岸，在金堤河休闲观光带上。公园内部地势平坦，但沟渠纵横，自然形成相对独立的地文景观空间。</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31" w:name="_Toc12960075"/>
      <w:bookmarkStart w:id="32" w:name="_Toc25915654"/>
      <w:r>
        <w:rPr>
          <w:rFonts w:hint="eastAsia" w:eastAsia="楷体" w:cs="Times New Roman"/>
          <w:b/>
          <w:bCs/>
          <w:color w:val="auto"/>
          <w:sz w:val="28"/>
          <w:szCs w:val="28"/>
        </w:rPr>
        <w:t>（三）水文景观资源</w:t>
      </w:r>
      <w:bookmarkEnd w:id="31"/>
      <w:bookmarkEnd w:id="32"/>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梁庙沟自西向东流经整个公园，河流从园外流入，静谧而祥和。河水两旁野花芬芳，极具自然野趣。</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33" w:name="_Toc12960076"/>
      <w:bookmarkStart w:id="34" w:name="_Toc25915655"/>
      <w:r>
        <w:rPr>
          <w:rFonts w:hint="eastAsia" w:eastAsia="楷体" w:cs="Times New Roman"/>
          <w:b/>
          <w:bCs/>
          <w:color w:val="auto"/>
          <w:sz w:val="28"/>
          <w:szCs w:val="28"/>
        </w:rPr>
        <w:t>（四）天象景观资源</w:t>
      </w:r>
      <w:bookmarkEnd w:id="33"/>
      <w:bookmarkEnd w:id="34"/>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1.日出晨光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万物还沉寂在一片黑夜之中，偶有几只小鸟在林间窜动，整片森林是那么的恬静而又深不可测。忽然间，一丝光亮撕破了灰暗的天空，透过枝丫、叶片间的缝隙，几缕淡淡的金光洒向大地。抬头仰望，云朵开始翻腾，如骏马在空中奔腾，如小鸭子在摇摆前进。一阵微风拂过，树梢尖头的绿叶开始舞动，森林是她们表演的舞台，金色的阳光则是最美的镁光灯。</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64" w:type="dxa"/>
          </w:tcPr>
          <w:p>
            <w:pPr>
              <w:ind w:left="0" w:leftChars="0" w:firstLine="0" w:firstLineChars="0"/>
              <w:rPr>
                <w:color w:val="000000"/>
                <w:szCs w:val="28"/>
                <w:vertAlign w:val="baseline"/>
              </w:rPr>
            </w:pPr>
            <w:r>
              <w:rPr>
                <w:rFonts w:hint="eastAsia"/>
                <w:color w:val="000000"/>
                <w:szCs w:val="28"/>
              </w:rPr>
              <w:drawing>
                <wp:inline distT="0" distB="0" distL="0" distR="0">
                  <wp:extent cx="5195570" cy="3312795"/>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95570" cy="3325808"/>
                          </a:xfrm>
                          <a:prstGeom prst="rect">
                            <a:avLst/>
                          </a:prstGeom>
                        </pic:spPr>
                      </pic:pic>
                    </a:graphicData>
                  </a:graphic>
                </wp:inline>
              </w:drawing>
            </w:r>
          </w:p>
        </w:tc>
      </w:tr>
    </w:tbl>
    <w:p>
      <w:pPr>
        <w:ind w:firstLine="0" w:firstLineChars="0"/>
        <w:jc w:val="both"/>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2.晚霞月色</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日落西山，天边的晚霞落照流金溢彩，微风掀起林间阵阵松涛，道道晚霞映照苍茫林海，如诗、似画，亦幻亦真。不同于朝阳带来的那种活力、希望。这柔和的金色幕布洒下，营造的是安逸、恬静而舒适的生活。漫步林间，伴花香阵阵、鸟语嘤嘤，月色渐浓而人亦尽欢。</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3.雾霭茫茫</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日出前、日落后、下雨时分，白雾渐渐地笼罩了整片森林，像一条白色的透明的丝带，在林间游走，在河面浮动。远处的林带若隐若现，像起伏在波浪中海岛，在雾里若隐若现。夜幕降临，薄薄的淡雾在如梦的月色中丝丝缕缕，如彩缎、如玉带，飘挂在林间，卿卿我我，若即若离，如情人薄履依依，又似少女玉步盈盈。</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79" w:type="dxa"/>
          </w:tcPr>
          <w:p>
            <w:pPr>
              <w:tabs>
                <w:tab w:val="left" w:pos="351"/>
              </w:tabs>
              <w:ind w:left="0" w:leftChars="0" w:firstLine="0" w:firstLineChars="0"/>
              <w:jc w:val="center"/>
              <w:rPr>
                <w:color w:val="000000"/>
                <w:szCs w:val="28"/>
                <w:vertAlign w:val="baseline"/>
              </w:rPr>
            </w:pPr>
            <w:r>
              <w:rPr>
                <w:rFonts w:hint="eastAsia"/>
                <w:color w:val="000000"/>
                <w:szCs w:val="28"/>
              </w:rPr>
              <w:drawing>
                <wp:inline distT="0" distB="0" distL="0" distR="0">
                  <wp:extent cx="5165090" cy="3133090"/>
                  <wp:effectExtent l="0" t="0" r="1651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extLst>
                              <a:ext uri="{28A0092B-C50C-407E-A947-70E740481C1C}">
                                <a14:useLocalDpi xmlns:a14="http://schemas.microsoft.com/office/drawing/2010/main" val="0"/>
                              </a:ext>
                            </a:extLst>
                          </a:blip>
                          <a:srcRect t="8093"/>
                          <a:stretch>
                            <a:fillRect/>
                          </a:stretch>
                        </pic:blipFill>
                        <pic:spPr>
                          <a:xfrm>
                            <a:off x="0" y="0"/>
                            <a:ext cx="5165090" cy="3147122"/>
                          </a:xfrm>
                          <a:prstGeom prst="rect">
                            <a:avLst/>
                          </a:prstGeom>
                          <a:ln>
                            <a:noFill/>
                          </a:ln>
                        </pic:spPr>
                      </pic:pic>
                    </a:graphicData>
                  </a:graphic>
                </wp:inline>
              </w:drawing>
            </w:r>
          </w:p>
        </w:tc>
      </w:tr>
    </w:tbl>
    <w:p>
      <w:pPr>
        <w:ind w:firstLine="0" w:firstLineChars="0"/>
        <w:jc w:val="both"/>
        <w:rPr>
          <w:color w:val="000000"/>
          <w:szCs w:val="28"/>
        </w:rPr>
      </w:pP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35" w:name="_Toc12960077"/>
      <w:bookmarkStart w:id="36" w:name="_Toc25915656"/>
      <w:r>
        <w:rPr>
          <w:rFonts w:hint="eastAsia" w:eastAsia="楷体" w:cs="Times New Roman"/>
          <w:b/>
          <w:bCs/>
          <w:color w:val="auto"/>
          <w:sz w:val="28"/>
          <w:szCs w:val="28"/>
        </w:rPr>
        <w:t>（五）人文景观资源</w:t>
      </w:r>
      <w:bookmarkEnd w:id="35"/>
      <w:bookmarkEnd w:id="36"/>
    </w:p>
    <w:p>
      <w:pPr>
        <w:widowControl/>
        <w:adjustRightInd/>
        <w:snapToGrid/>
        <w:spacing w:line="360" w:lineRule="auto"/>
        <w:ind w:firstLine="560" w:firstLineChars="0"/>
        <w:jc w:val="both"/>
        <w:rPr>
          <w:rFonts w:hint="eastAsia" w:eastAsia="宋体" w:cs="Times New Roman"/>
          <w:color w:val="auto"/>
          <w:sz w:val="28"/>
          <w:szCs w:val="28"/>
          <w:lang w:val="en-US" w:eastAsia="zh-CN"/>
        </w:rPr>
      </w:pPr>
      <w:bookmarkStart w:id="37" w:name="_Toc12960079"/>
      <w:r>
        <w:rPr>
          <w:rFonts w:hint="eastAsia" w:eastAsia="宋体" w:cs="Times New Roman"/>
          <w:color w:val="auto"/>
          <w:sz w:val="28"/>
          <w:szCs w:val="28"/>
          <w:lang w:val="en-US" w:eastAsia="zh-CN"/>
        </w:rPr>
        <w:t>1.现代工程</w:t>
      </w:r>
      <w:bookmarkEnd w:id="37"/>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（1）森林文化广场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沿G342主路在园区入口处建设，集管理及服务功能一体的入口广场，为休闲健身的游客提供集散及休闲购物的区域。面积0.75公顷</w:t>
      </w:r>
      <w:r>
        <w:rPr>
          <w:rFonts w:hint="eastAsia" w:eastAsia="宋体" w:cs="Times New Roman"/>
          <w:color w:val="auto"/>
          <w:sz w:val="28"/>
          <w:szCs w:val="28"/>
          <w:highlight w:val="none"/>
          <w:lang w:val="en-US" w:eastAsia="zh-CN"/>
        </w:rPr>
        <w:t>。文</w:t>
      </w:r>
      <w:r>
        <w:rPr>
          <w:rFonts w:hint="eastAsia" w:eastAsia="宋体" w:cs="Times New Roman"/>
          <w:color w:val="auto"/>
          <w:sz w:val="28"/>
          <w:szCs w:val="28"/>
          <w:lang w:val="en-US" w:eastAsia="zh-CN"/>
        </w:rPr>
        <w:t>化广场以森林为基底，结合传统式建筑，彰显当地地方特色，将自然与人文元素有机地结合，自然而朴素，独具人文情怀。</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4" w:type="dxa"/>
          </w:tcPr>
          <w:p>
            <w:pPr>
              <w:ind w:left="0" w:leftChars="0" w:firstLine="0" w:firstLineChars="0"/>
              <w:jc w:val="both"/>
              <w:rPr>
                <w:color w:val="000000"/>
                <w:szCs w:val="28"/>
                <w:vertAlign w:val="baseline"/>
              </w:rPr>
            </w:pPr>
            <w:r>
              <w:rPr>
                <w:color w:val="000000"/>
                <w:szCs w:val="28"/>
              </w:rPr>
              <w:drawing>
                <wp:inline distT="0" distB="0" distL="0" distR="0">
                  <wp:extent cx="5191760" cy="2871470"/>
                  <wp:effectExtent l="0" t="0" r="8890" b="5080"/>
                  <wp:docPr id="7" name="图片 9" descr="森林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森林广场"/>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91760" cy="2871537"/>
                          </a:xfrm>
                          <a:prstGeom prst="rect">
                            <a:avLst/>
                          </a:prstGeom>
                          <a:noFill/>
                          <a:ln>
                            <a:noFill/>
                          </a:ln>
                        </pic:spPr>
                      </pic:pic>
                    </a:graphicData>
                  </a:graphic>
                </wp:inline>
              </w:drawing>
            </w:r>
          </w:p>
        </w:tc>
      </w:tr>
    </w:tbl>
    <w:p>
      <w:pPr>
        <w:ind w:firstLine="0" w:firstLineChars="0"/>
        <w:jc w:val="both"/>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（2）氧吧栈道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栈道位于森林公园中部，由防腐材质制成，自然、环保、安全。栈道仿佛是一条丝线，把沿线的道道美景串成了一根光彩夺目的项链。整个栈道，蜿蜒曲折，将各植物林带串联，观赏不同植物特色的同时，感受健康宜人的环境，整个过程都充盈着自然野趣。</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（3）滨水景观带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利用已建管理用房，形成滨水景观节点。设置水中平台，九曲栈桥，树池坐凳广场等景观场所设施，同时，增加相应生态驳岸与水生植物，结合改造梁庙沟水系，形成自然湿地景观。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bookmarkStart w:id="38" w:name="_Toc12960080"/>
      <w:r>
        <w:rPr>
          <w:rFonts w:hint="eastAsia" w:eastAsia="宋体" w:cs="Times New Roman"/>
          <w:color w:val="auto"/>
          <w:sz w:val="28"/>
          <w:szCs w:val="28"/>
          <w:lang w:val="en-US" w:eastAsia="zh-CN"/>
        </w:rPr>
        <w:t>2.民俗风情</w:t>
      </w:r>
      <w:bookmarkEnd w:id="38"/>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台前县是文明礼仪之乡，文化源远流长。民间工艺有土布织染、编织、根雕、羽毛工艺、纸扎、剪纸、刺绣、面塑、埙等，这些民间传统艺术富有浓郁的乡土气息。民间艺术有唢呐、锣鼓、抬撵、架鼓、花船、竹马、高跷、舞狮、担花篮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民间歌谣以号子最具特色。号子包括运河号子和黄河号子。境内流传的劳动号子颇多，尤以黄河号子著称，它是台前民间文化的一支奇葩。黄河号子具有协调动作、指挥劳动、鼓舞情绪等特殊功能，用于拉蓬、拉纤、起锚、打桩、夯堤坝、土台等劳动场合。黄河号子共分骑马号（快号）、绵羊号（慢号）、小官号（慢号头、快号）和流水号四种。今流传的多为慢号和流水号，骑马号仅在打桩时使用。一首好的黄河号子，内容健康，格调清新，词句优雅，代代相传，深受群众喜爱。它成为群众自编、自喊、自乐、自我教育的良好教材。</w:t>
      </w:r>
    </w:p>
    <w:p>
      <w:pPr>
        <w:widowControl/>
        <w:adjustRightInd/>
        <w:snapToGrid/>
        <w:spacing w:line="360" w:lineRule="auto"/>
        <w:ind w:firstLine="560" w:firstLineChars="0"/>
        <w:jc w:val="both"/>
        <w:rPr>
          <w:rFonts w:eastAsia="宋体" w:cs="Times New Roman"/>
          <w:color w:val="auto"/>
          <w:sz w:val="28"/>
          <w:szCs w:val="28"/>
        </w:rPr>
      </w:pPr>
      <w:bookmarkStart w:id="39" w:name="_Toc12960081"/>
      <w:r>
        <w:rPr>
          <w:rFonts w:eastAsia="宋体" w:cs="Times New Roman"/>
          <w:color w:val="auto"/>
          <w:sz w:val="28"/>
          <w:szCs w:val="28"/>
        </w:rPr>
        <w:t>3.史事</w:t>
      </w:r>
      <w:bookmarkEnd w:id="39"/>
      <w:r>
        <w:rPr>
          <w:rFonts w:hint="eastAsia" w:eastAsia="宋体" w:cs="Times New Roman"/>
          <w:color w:val="auto"/>
          <w:sz w:val="28"/>
          <w:szCs w:val="28"/>
        </w:rPr>
        <w:t>文化</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（1）运河文化</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千里运河，难在台前段。台前段通，则千里运河通；台前段活，则千里运河活。”引自《中国文化遗产研究院专家语》，说明古运河台前段的重要性。古运河台前段自元朝通航以来，历明清两代，数百年间一直是漕运的干道。当时，这里舟楫往来，集市星布，商贩云涌。古运河台前段以“治河文化”为其独具的特质，黄河赋予这里的运河文化相对独立于其他河段的内涵。元明清三代在台前治理黄河、疏浚运河工程的成功，不仅仅是丰富和积累了治河经验，实际上为京杭大运河的畅通提供了保障。蜿蜒的京杭大运河在台前这片古老的沃土不仅流淌出一个名垂青史的繁盛时代，而且流淌出一条波光粼粼的文化丝带。</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（2）红色文化</w:t>
      </w:r>
    </w:p>
    <w:p>
      <w:pPr>
        <w:tabs>
          <w:tab w:val="left" w:pos="1390"/>
        </w:tabs>
        <w:bidi w:val="0"/>
        <w:jc w:val="left"/>
        <w:rPr>
          <w:rFonts w:eastAsia="宋体" w:cs="Times New Roman"/>
          <w:color w:val="auto"/>
          <w:sz w:val="28"/>
          <w:szCs w:val="28"/>
        </w:rPr>
      </w:pPr>
      <w:r>
        <w:rPr>
          <w:rFonts w:hint="eastAsia" w:eastAsia="宋体" w:cs="Times New Roman"/>
          <w:color w:val="auto"/>
          <w:sz w:val="28"/>
          <w:szCs w:val="28"/>
        </w:rPr>
        <w:t>台前是革命老区，在1947年6月30日，刘伯承、邓小平率领晋冀鲁豫野战军12万人以孙口为中心渡口强渡黄河天险，挺进中原，千里跃进大别山，揭开了解放战争战略进攻的序幕。台前在革命战争年代属于冀鲁豫边区革命根据地，台前人民为中国人民的解放事业曾</w:t>
      </w:r>
      <w:r>
        <w:rPr>
          <w:rFonts w:hint="eastAsia" w:eastAsia="宋体" w:cs="Times New Roman"/>
          <w:color w:val="auto"/>
          <w:sz w:val="28"/>
          <w:szCs w:val="28"/>
          <w:lang w:eastAsia="zh-CN"/>
        </w:rPr>
        <w:t>作出</w:t>
      </w:r>
      <w:r>
        <w:rPr>
          <w:rFonts w:hint="eastAsia" w:eastAsia="宋体" w:cs="Times New Roman"/>
          <w:color w:val="auto"/>
          <w:sz w:val="28"/>
          <w:szCs w:val="28"/>
        </w:rPr>
        <w:t>了重大贡献，特别是在支援前线方面付出了巨大的牺牲。解放后，刘少奇、万里、薄一波、吴邦国、迟浩田、李德生等党和国家领导人先后亲临台前视察指导。经过多年来的开发建设，将军渡黄河游览区得到了较好的保护利用，这里已经成为参观游览，学习革命历史、缅怀伟人业绩的爱国主义教育和革命传统教育基地。</w:t>
      </w:r>
    </w:p>
    <w:p>
      <w:pPr>
        <w:widowControl/>
        <w:adjustRightInd/>
        <w:snapToGrid/>
        <w:spacing w:line="360" w:lineRule="auto"/>
        <w:ind w:firstLine="560" w:firstLineChars="0"/>
        <w:jc w:val="both"/>
        <w:rPr>
          <w:rFonts w:eastAsia="宋体" w:cs="Times New Roman"/>
          <w:color w:val="auto"/>
          <w:sz w:val="28"/>
          <w:szCs w:val="28"/>
        </w:rPr>
      </w:pPr>
      <w:bookmarkStart w:id="40" w:name="_Toc12960082"/>
      <w:r>
        <w:rPr>
          <w:rFonts w:eastAsia="宋体" w:cs="Times New Roman"/>
          <w:color w:val="auto"/>
          <w:sz w:val="28"/>
          <w:szCs w:val="28"/>
        </w:rPr>
        <w:t>4.旅游商品</w:t>
      </w:r>
      <w:bookmarkEnd w:id="40"/>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（1）</w:t>
      </w:r>
      <w:r>
        <w:rPr>
          <w:rFonts w:eastAsia="宋体" w:cs="Times New Roman"/>
          <w:color w:val="auto"/>
          <w:sz w:val="28"/>
          <w:szCs w:val="28"/>
        </w:rPr>
        <w:t>吴坝大蒜</w:t>
      </w:r>
    </w:p>
    <w:p>
      <w:pPr>
        <w:widowControl/>
        <w:adjustRightInd/>
        <w:snapToGrid/>
        <w:spacing w:line="360" w:lineRule="auto"/>
        <w:ind w:firstLine="560" w:firstLineChars="0"/>
        <w:jc w:val="both"/>
        <w:rPr>
          <w:rFonts w:eastAsia="宋体" w:cs="Times New Roman"/>
          <w:color w:val="auto"/>
          <w:sz w:val="28"/>
          <w:szCs w:val="28"/>
        </w:rPr>
      </w:pPr>
      <w:r>
        <w:rPr>
          <w:rFonts w:eastAsia="宋体" w:cs="Times New Roman"/>
          <w:color w:val="auto"/>
          <w:sz w:val="28"/>
          <w:szCs w:val="28"/>
        </w:rPr>
        <w:t>吴坝大蒜是河南濮阳台前县的特产，吴坝乡位于台前县的东北角，三面与山东接壤，四季分明，雨量适中，光照充足。多年来，与黄河百米之遥的吴坝乡努力发展无公害大蒜。2007年，吴坝大蒜产品经国家农业部审核，符合无公害农产品产地相关标准和要求，该乡被认定为中华人民共和国无公害产品产地。</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其</w:t>
      </w:r>
      <w:r>
        <w:rPr>
          <w:rFonts w:eastAsia="宋体" w:cs="Times New Roman"/>
          <w:color w:val="auto"/>
          <w:sz w:val="28"/>
          <w:szCs w:val="28"/>
        </w:rPr>
        <w:t>特点是蒜头大、皮薄、质细辣味香，蒜泥汁多，且粘稠不干，被人们视为上乘调味品，生熟食用俱佳，具有抗寒能力强，休眠期长，耐贮藏等特点。如今全乡大蒜种植面积达到了1.1万亩，产品远销国外。“吴坝大蒜”在享誉一方的同时，也被当地群众亲切地称为“便民大蒜”。</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（2）</w:t>
      </w:r>
      <w:r>
        <w:rPr>
          <w:rFonts w:eastAsia="宋体" w:cs="Times New Roman"/>
          <w:color w:val="auto"/>
          <w:sz w:val="28"/>
          <w:szCs w:val="28"/>
        </w:rPr>
        <w:t>小尾寒羊</w:t>
      </w:r>
    </w:p>
    <w:p>
      <w:pPr>
        <w:widowControl/>
        <w:adjustRightInd/>
        <w:snapToGrid/>
        <w:spacing w:line="360" w:lineRule="auto"/>
        <w:ind w:firstLine="560" w:firstLineChars="0"/>
        <w:jc w:val="both"/>
        <w:rPr>
          <w:rFonts w:eastAsia="宋体" w:cs="Times New Roman"/>
          <w:color w:val="auto"/>
          <w:sz w:val="28"/>
          <w:szCs w:val="28"/>
        </w:rPr>
      </w:pPr>
      <w:r>
        <w:rPr>
          <w:rFonts w:eastAsia="宋体" w:cs="Times New Roman"/>
          <w:color w:val="auto"/>
          <w:sz w:val="28"/>
          <w:szCs w:val="28"/>
        </w:rPr>
        <w:t>濮阳台前是全国小尾寒羊繁育基地，每年向周边地区提供优质种羊3万多只。近年来，台前县委、县政府把发展小尾寒羊饲养业作为增加农民收入的突破口，成立组织，加强领导，建立选育机构，加强品种选育，推广科学饲养。</w:t>
      </w:r>
      <w:r>
        <w:rPr>
          <w:rFonts w:hint="eastAsia" w:eastAsia="宋体" w:cs="Times New Roman"/>
          <w:color w:val="auto"/>
          <w:sz w:val="28"/>
          <w:szCs w:val="28"/>
        </w:rPr>
        <w:t>台前县</w:t>
      </w:r>
      <w:r>
        <w:rPr>
          <w:rFonts w:eastAsia="宋体" w:cs="Times New Roman"/>
          <w:color w:val="auto"/>
          <w:sz w:val="28"/>
          <w:szCs w:val="28"/>
        </w:rPr>
        <w:t>定期举办赛羊大会，逐渐把个体大、雄性强、质量优的优秀种公羊选下来，利用其品种不断优化，优良特性更加稳定，品种优势更加明显。</w:t>
      </w:r>
    </w:p>
    <w:p>
      <w:pPr>
        <w:widowControl/>
        <w:adjustRightInd/>
        <w:snapToGrid/>
        <w:spacing w:line="360" w:lineRule="auto"/>
        <w:ind w:firstLine="560" w:firstLineChars="0"/>
        <w:jc w:val="both"/>
        <w:rPr>
          <w:rFonts w:eastAsia="宋体" w:cs="Times New Roman"/>
          <w:color w:val="auto"/>
          <w:sz w:val="28"/>
          <w:szCs w:val="28"/>
        </w:rPr>
      </w:pPr>
      <w:bookmarkStart w:id="41" w:name="_Toc12960083"/>
      <w:bookmarkStart w:id="42" w:name="_Toc25915657"/>
      <w:r>
        <w:rPr>
          <w:rFonts w:eastAsia="宋体" w:cs="Times New Roman"/>
          <w:color w:val="auto"/>
          <w:sz w:val="28"/>
          <w:szCs w:val="28"/>
        </w:rPr>
        <w:t>5.可借景观资源</w:t>
      </w:r>
      <w:bookmarkEnd w:id="41"/>
      <w:bookmarkEnd w:id="42"/>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台前县地处黄河流域，历史悠久，文化灿烂，是炎黄文化的发祥地之一。有着丰富的自然和人文景观。历史遗迹主要有五代名郭“晋王城”、唐代张公艺九世同居“百忍堂”（张公艺墓）、唐太宗李世民赐筑的“古贤桥”、玉皇岭古墓、徐堌堆文化遗址、玉皇岭古文化遗址、八里庙治黄碑刻、张广魏氏墓碑、蚩尤冢、严嵩墓等40多处。这里还有北宋末年梁山好汉有关的地名，如景阳岗、梁山塞、狮子楼、祝家庄等。解放战争时期，刘邓大军又在此强</w:t>
      </w:r>
      <w:r>
        <w:rPr>
          <w:rFonts w:hint="eastAsia" w:eastAsia="宋体" w:cs="Times New Roman"/>
          <w:color w:val="auto"/>
          <w:sz w:val="28"/>
          <w:szCs w:val="28"/>
          <w:lang w:val="en-US" w:eastAsia="zh-CN"/>
        </w:rPr>
        <w:t>渡</w:t>
      </w:r>
      <w:r>
        <w:rPr>
          <w:rFonts w:hint="eastAsia" w:eastAsia="宋体" w:cs="Times New Roman"/>
          <w:color w:val="auto"/>
          <w:sz w:val="28"/>
          <w:szCs w:val="28"/>
        </w:rPr>
        <w:t>黄河，千里跃进大别山，县城南</w:t>
      </w:r>
      <w:r>
        <w:rPr>
          <w:rFonts w:hint="eastAsia" w:eastAsia="宋体" w:cs="Times New Roman"/>
          <w:color w:val="auto"/>
          <w:sz w:val="28"/>
          <w:szCs w:val="28"/>
          <w:lang w:val="en-US" w:eastAsia="zh-CN"/>
        </w:rPr>
        <w:t>部</w:t>
      </w:r>
      <w:r>
        <w:rPr>
          <w:rFonts w:hint="eastAsia" w:eastAsia="宋体" w:cs="Times New Roman"/>
          <w:color w:val="auto"/>
          <w:sz w:val="28"/>
          <w:szCs w:val="28"/>
        </w:rPr>
        <w:t>黄</w:t>
      </w:r>
      <w:r>
        <w:rPr>
          <w:rFonts w:hint="eastAsia" w:eastAsia="宋体" w:cs="Times New Roman"/>
          <w:color w:val="auto"/>
          <w:sz w:val="28"/>
          <w:szCs w:val="28"/>
          <w:lang w:val="en-US" w:eastAsia="zh-CN"/>
        </w:rPr>
        <w:t>河</w:t>
      </w:r>
      <w:r>
        <w:rPr>
          <w:rFonts w:hint="eastAsia" w:eastAsia="宋体" w:cs="Times New Roman"/>
          <w:color w:val="auto"/>
          <w:sz w:val="28"/>
          <w:szCs w:val="28"/>
        </w:rPr>
        <w:t>堤上现建有“刘邓大军渡河处”纪念碑一座。同时，还有“凤台春晓”、“长堤柳烟”、“大河怒涛”、“芦荡秋月”等自然美景，旅游资源丰富。</w:t>
      </w:r>
      <w:r>
        <w:rPr>
          <w:rFonts w:eastAsia="宋体" w:cs="Times New Roman"/>
          <w:color w:val="auto"/>
          <w:sz w:val="28"/>
          <w:szCs w:val="28"/>
        </w:rPr>
        <w:t>台前县西凤省级森林公园可依托当地</w:t>
      </w:r>
      <w:r>
        <w:rPr>
          <w:rFonts w:hint="eastAsia" w:eastAsia="宋体" w:cs="Times New Roman"/>
          <w:color w:val="auto"/>
          <w:sz w:val="28"/>
          <w:szCs w:val="28"/>
        </w:rPr>
        <w:t>文化和自然人文景观等资源，提升公园深厚的历史文化价值，赋予公园深厚的历史文化底蕴，从而拓展城郊森林公园生态旅游、科普教育、休闲健身的文化内涵。</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（1）黄河+金堤河</w:t>
      </w:r>
    </w:p>
    <w:p>
      <w:pPr>
        <w:widowControl/>
        <w:adjustRightInd/>
        <w:snapToGrid/>
        <w:spacing w:line="360" w:lineRule="auto"/>
        <w:ind w:firstLine="560" w:firstLineChars="0"/>
        <w:jc w:val="both"/>
        <w:rPr>
          <w:color w:val="000000"/>
          <w:szCs w:val="28"/>
        </w:rPr>
      </w:pPr>
      <w:r>
        <w:rPr>
          <w:rFonts w:hint="eastAsia" w:eastAsia="宋体" w:cs="Times New Roman"/>
          <w:color w:val="auto"/>
          <w:sz w:val="28"/>
          <w:szCs w:val="28"/>
        </w:rPr>
        <w:t>黄河沿县境南部，由西南向东北曲折68.5公里；金堤河沿县境北部，由西向东横贯46公里，汇流入黄河。黄河是河南台前的母亲河，是孕育台前悠久灿烂文化和文明的摇篮。利用县境内特有的水文、地文景观资源特征，打造出黄河文化休闲观光带、金堤河休闲观光带，充分体现台前黄河与金堤河的文化厚度和文化个性。</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ind w:left="0" w:leftChars="0" w:firstLine="0" w:firstLineChars="0"/>
              <w:jc w:val="center"/>
              <w:rPr>
                <w:rFonts w:hint="eastAsia"/>
                <w:color w:val="000000"/>
                <w:szCs w:val="28"/>
                <w:vertAlign w:val="baseline"/>
              </w:rPr>
            </w:pPr>
            <w:r>
              <w:rPr>
                <w:rFonts w:hint="eastAsia"/>
                <w:color w:val="000000"/>
                <w:szCs w:val="28"/>
              </w:rPr>
              <w:drawing>
                <wp:inline distT="0" distB="0" distL="0" distR="0">
                  <wp:extent cx="5267325" cy="1887220"/>
                  <wp:effectExtent l="0" t="0" r="952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extLst>
                              <a:ext uri="{28A0092B-C50C-407E-A947-70E740481C1C}">
                                <a14:useLocalDpi xmlns:a14="http://schemas.microsoft.com/office/drawing/2010/main" val="0"/>
                              </a:ext>
                            </a:extLst>
                          </a:blip>
                          <a:srcRect b="15013"/>
                          <a:stretch>
                            <a:fillRect/>
                          </a:stretch>
                        </pic:blipFill>
                        <pic:spPr>
                          <a:xfrm>
                            <a:off x="0" y="0"/>
                            <a:ext cx="5267325" cy="1887220"/>
                          </a:xfrm>
                          <a:prstGeom prst="rect">
                            <a:avLst/>
                          </a:prstGeom>
                        </pic:spPr>
                      </pic:pic>
                    </a:graphicData>
                  </a:graphic>
                </wp:inline>
              </w:drawing>
            </w:r>
          </w:p>
        </w:tc>
      </w:tr>
    </w:tbl>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（2）大河神祠（文化旅游景点）</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位于台前县城东30里夹河乡八里庙村西北，位京杭古运河东岸，始建于明朝景泰年间。相传嘉靖年间，一周姓四品-押运漕船至运河沙湾段（八里庙处），放闸时落水溺死，被列封为“大王”，并在祠</w:t>
      </w:r>
      <w:r>
        <w:rPr>
          <w:rFonts w:hint="eastAsia" w:eastAsia="宋体" w:cs="Times New Roman"/>
          <w:color w:val="auto"/>
          <w:sz w:val="28"/>
          <w:szCs w:val="28"/>
          <w:lang w:val="en-US" w:eastAsia="zh-CN"/>
        </w:rPr>
        <w:t>中祭之，</w:t>
      </w:r>
      <w:r>
        <w:rPr>
          <w:rFonts w:hint="eastAsia" w:eastAsia="宋体" w:cs="Times New Roman"/>
          <w:color w:val="auto"/>
          <w:sz w:val="28"/>
          <w:szCs w:val="28"/>
        </w:rPr>
        <w:t>故当地人又称大河神祠为大王庙。</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12"/>
        <w:gridCol w:w="5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pPr>
              <w:ind w:left="0" w:leftChars="0" w:firstLine="0" w:firstLineChars="0"/>
              <w:rPr>
                <w:color w:val="000000"/>
                <w:szCs w:val="28"/>
                <w:vertAlign w:val="baseline"/>
              </w:rPr>
            </w:pPr>
            <w:r>
              <w:rPr>
                <w:rFonts w:hint="eastAsia"/>
                <w:color w:val="000000"/>
                <w:szCs w:val="28"/>
              </w:rPr>
              <w:drawing>
                <wp:inline distT="0" distB="0" distL="0" distR="0">
                  <wp:extent cx="1780540" cy="2316480"/>
                  <wp:effectExtent l="0" t="0" r="1016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extLst>
                              <a:ext uri="{28A0092B-C50C-407E-A947-70E740481C1C}">
                                <a14:useLocalDpi xmlns:a14="http://schemas.microsoft.com/office/drawing/2010/main" val="0"/>
                              </a:ext>
                            </a:extLst>
                          </a:blip>
                          <a:srcRect b="10431"/>
                          <a:stretch>
                            <a:fillRect/>
                          </a:stretch>
                        </pic:blipFill>
                        <pic:spPr>
                          <a:xfrm>
                            <a:off x="0" y="0"/>
                            <a:ext cx="1795998" cy="2316480"/>
                          </a:xfrm>
                          <a:prstGeom prst="rect">
                            <a:avLst/>
                          </a:prstGeom>
                        </pic:spPr>
                      </pic:pic>
                    </a:graphicData>
                  </a:graphic>
                </wp:inline>
              </w:drawing>
            </w:r>
          </w:p>
        </w:tc>
        <w:tc>
          <w:tcPr>
            <w:tcW w:w="4261" w:type="dxa"/>
          </w:tcPr>
          <w:p>
            <w:pPr>
              <w:ind w:left="0" w:leftChars="0" w:firstLine="0" w:firstLineChars="0"/>
              <w:rPr>
                <w:color w:val="000000"/>
                <w:szCs w:val="28"/>
                <w:vertAlign w:val="baseline"/>
              </w:rPr>
            </w:pPr>
            <w:r>
              <w:rPr>
                <w:rFonts w:hint="eastAsia"/>
                <w:color w:val="000000"/>
                <w:szCs w:val="28"/>
              </w:rPr>
              <w:drawing>
                <wp:inline distT="0" distB="0" distL="0" distR="0">
                  <wp:extent cx="3386455" cy="2327910"/>
                  <wp:effectExtent l="0" t="0" r="4445"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25224" cy="2354840"/>
                          </a:xfrm>
                          <a:prstGeom prst="rect">
                            <a:avLst/>
                          </a:prstGeom>
                        </pic:spPr>
                      </pic:pic>
                    </a:graphicData>
                  </a:graphic>
                </wp:inline>
              </w:drawing>
            </w:r>
          </w:p>
        </w:tc>
      </w:tr>
    </w:tbl>
    <w:p>
      <w:pPr>
        <w:ind w:firstLine="0" w:firstLineChars="0"/>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（3）孙口将军渡黄河游览区（河南省文物保护单位、国家水利风景区）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以省级文物保护单位“晋冀鲁豫野战军渡河处”为依托，沿临黄堤规划建设。该区位于豫鲁交界的黄河之滨，是连接鲁西北和鲁西南两大地区的交通咽喉，为历代军事战略重地。</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23"/>
        <w:gridCol w:w="5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23" w:type="dxa"/>
          </w:tcPr>
          <w:p>
            <w:pPr>
              <w:ind w:left="0" w:leftChars="0" w:firstLine="0" w:firstLineChars="0"/>
              <w:rPr>
                <w:color w:val="000000"/>
                <w:szCs w:val="28"/>
                <w:vertAlign w:val="baseline"/>
              </w:rPr>
            </w:pPr>
            <w:r>
              <w:rPr>
                <w:rFonts w:hint="eastAsia"/>
                <w:color w:val="000000"/>
                <w:szCs w:val="28"/>
              </w:rPr>
              <w:drawing>
                <wp:inline distT="0" distB="0" distL="0" distR="0">
                  <wp:extent cx="1743710" cy="2235835"/>
                  <wp:effectExtent l="0" t="0" r="889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3710" cy="2267007"/>
                          </a:xfrm>
                          <a:prstGeom prst="rect">
                            <a:avLst/>
                          </a:prstGeom>
                        </pic:spPr>
                      </pic:pic>
                    </a:graphicData>
                  </a:graphic>
                </wp:inline>
              </w:drawing>
            </w:r>
          </w:p>
        </w:tc>
        <w:tc>
          <w:tcPr>
            <w:tcW w:w="5490" w:type="dxa"/>
          </w:tcPr>
          <w:p>
            <w:pPr>
              <w:ind w:left="0" w:leftChars="0" w:firstLine="0" w:firstLineChars="0"/>
              <w:rPr>
                <w:color w:val="000000"/>
                <w:szCs w:val="28"/>
                <w:vertAlign w:val="baseline"/>
              </w:rPr>
            </w:pPr>
            <w:r>
              <w:rPr>
                <w:rFonts w:hint="eastAsia"/>
                <w:color w:val="000000"/>
                <w:szCs w:val="28"/>
              </w:rPr>
              <w:drawing>
                <wp:inline distT="0" distB="0" distL="0" distR="0">
                  <wp:extent cx="3357245" cy="2235200"/>
                  <wp:effectExtent l="0" t="0" r="1460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7245" cy="2254095"/>
                          </a:xfrm>
                          <a:prstGeom prst="rect">
                            <a:avLst/>
                          </a:prstGeom>
                        </pic:spPr>
                      </pic:pic>
                    </a:graphicData>
                  </a:graphic>
                </wp:inline>
              </w:drawing>
            </w:r>
          </w:p>
        </w:tc>
      </w:tr>
    </w:tbl>
    <w:p>
      <w:pPr>
        <w:ind w:firstLine="0" w:firstLineChars="0"/>
        <w:rPr>
          <w:color w:val="000000"/>
          <w:szCs w:val="28"/>
        </w:rPr>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经过多年来的开发建设，将军渡黄河游览区得到了较好的保护利用，这里先后被命名为省级重点文物保护单位、省首批爱国主义教育基地、省红色旅游景点、省大中小学生德育基地、台前县青少年素质教育基地，2007年被国家水利部公布为国家水利风景区，成为豫北地区红色旅游胜地，每年都有数十万游人、青少年学生前往参观游览，学习革命历史、缅怀伟人业绩，发挥了爱国主义教育和革命传统教育基地的作用，取得了极大的社会效益。</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（4）玉皇岭古墓（河南省文物保护单位）</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位于后方乡玉皇岭村西南约</w:t>
      </w:r>
      <w:r>
        <w:rPr>
          <w:rFonts w:hint="eastAsia" w:eastAsia="宋体" w:cs="Times New Roman"/>
          <w:color w:val="auto"/>
          <w:sz w:val="28"/>
          <w:szCs w:val="28"/>
          <w:lang w:val="en-US" w:eastAsia="zh-CN"/>
        </w:rPr>
        <w:t>300</w:t>
      </w:r>
      <w:r>
        <w:rPr>
          <w:rFonts w:hint="eastAsia" w:eastAsia="宋体" w:cs="Times New Roman"/>
          <w:color w:val="auto"/>
          <w:sz w:val="28"/>
          <w:szCs w:val="28"/>
        </w:rPr>
        <w:t>米处。原为一土丘，高</w:t>
      </w:r>
      <w:r>
        <w:rPr>
          <w:rFonts w:hint="eastAsia" w:eastAsia="宋体" w:cs="Times New Roman"/>
          <w:color w:val="auto"/>
          <w:sz w:val="28"/>
          <w:szCs w:val="28"/>
          <w:lang w:val="en-US" w:eastAsia="zh-CN"/>
        </w:rPr>
        <w:t>3</w:t>
      </w:r>
      <w:r>
        <w:rPr>
          <w:rFonts w:hint="eastAsia" w:eastAsia="宋体" w:cs="Times New Roman"/>
          <w:color w:val="auto"/>
          <w:sz w:val="28"/>
          <w:szCs w:val="28"/>
        </w:rPr>
        <w:t>米，占地面积1500平方米。1959年修筑围村堰时将土丘挖平，露出墓顶，发现墓穴内有一悬梁吊棺，遂用土掩复。今墓址稍高于地面，已垦为耕地。传说墓主为明代奸相严嵩，但无史可考。1957年、1976年和1977年，该墓先后被山东省人民委员会、河南省革命委员会以“严嵩墓”为名公布为省级重点文物保护单位。</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（5）百忍堂（河南省文物保护单位）</w:t>
      </w:r>
    </w:p>
    <w:p>
      <w:pPr>
        <w:widowControl/>
        <w:adjustRightInd/>
        <w:snapToGrid/>
        <w:spacing w:line="360" w:lineRule="auto"/>
        <w:ind w:firstLine="560" w:firstLineChars="0"/>
        <w:jc w:val="both"/>
        <w:rPr>
          <w:color w:val="000000"/>
          <w:szCs w:val="28"/>
        </w:rPr>
      </w:pPr>
      <w:r>
        <w:rPr>
          <w:rFonts w:hint="eastAsia" w:eastAsia="宋体" w:cs="Times New Roman"/>
          <w:color w:val="auto"/>
          <w:sz w:val="28"/>
          <w:szCs w:val="28"/>
        </w:rPr>
        <w:t>遗址在台前县桥北张村，张公艺墓位于台前县桥北张村南约二百米处，</w:t>
      </w:r>
      <w:r>
        <w:rPr>
          <w:rFonts w:hint="eastAsia" w:eastAsia="宋体" w:cs="Times New Roman"/>
          <w:color w:val="auto"/>
          <w:sz w:val="28"/>
          <w:szCs w:val="28"/>
          <w:lang w:eastAsia="zh-CN"/>
        </w:rPr>
        <w:t>坐北朝南</w:t>
      </w:r>
      <w:r>
        <w:rPr>
          <w:rFonts w:hint="eastAsia" w:eastAsia="宋体" w:cs="Times New Roman"/>
          <w:color w:val="auto"/>
          <w:sz w:val="28"/>
          <w:szCs w:val="28"/>
        </w:rPr>
        <w:t>，共有墓冢十二个，其主墓是张公艺之主父，左为公艺之父，向前是其兄弟十人，分列东西两行，张公艺墓是西边的第三座。从前历代官府每年的春秋到此祭奠，因此叫“御祭林”。</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79" w:type="dxa"/>
          </w:tcPr>
          <w:p>
            <w:pPr>
              <w:ind w:left="0" w:leftChars="0" w:firstLine="0" w:firstLineChars="0"/>
              <w:jc w:val="both"/>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5219700" cy="2562860"/>
                  <wp:effectExtent l="0" t="0" r="0" b="8890"/>
                  <wp:docPr id="74" name="图片 74" descr="200912594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0091259413134"/>
                          <pic:cNvPicPr>
                            <a:picLocks noChangeAspect="1"/>
                          </pic:cNvPicPr>
                        </pic:nvPicPr>
                        <pic:blipFill>
                          <a:blip r:embed="rId35"/>
                          <a:stretch>
                            <a:fillRect/>
                          </a:stretch>
                        </pic:blipFill>
                        <pic:spPr>
                          <a:xfrm>
                            <a:off x="0" y="0"/>
                            <a:ext cx="5219700" cy="2562860"/>
                          </a:xfrm>
                          <a:prstGeom prst="rect">
                            <a:avLst/>
                          </a:prstGeom>
                        </pic:spPr>
                      </pic:pic>
                    </a:graphicData>
                  </a:graphic>
                </wp:inline>
              </w:drawing>
            </w:r>
          </w:p>
        </w:tc>
      </w:tr>
    </w:tbl>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该墓地方志有记载《兖州府志》卷二十三陵墓志“寿张县张公艺墓在县城南十里，正德六年参政史学立石志之。”墓地原有石坊三座，碑碣多耸，石马石羊等，松柏参天，仰视不见天日。由于濒临黄河，堤防屡有决口，每次带来大量泥沙，逐渐淤垫，深深埋于地下，后人又重修坟墓。筑起约一米高，直径二米，呈圆锥形的砖石墓冢。台前县人民政府于一九八二年四月在墓前立了“省级重点文物保护单位张公艺墓”石刻标记。</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（6）古贤桥</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张公艺墓前的古贤桥又名“访贤桥”，位于孙口乡古贤桥村南100米。2006年4月，濮阳市文物保护管理所和台前县文化旅游局协作，按照河南省文物钻探工作规程进行了文物钻探，初步断定此桥为石拱桥，东南、西北走向，深埋地下约6米，桥长52米，宽6米，建于唐初，比著名的赵州桥仅晚几十年，可称“中华第二桥”，极具科研价值和文物价值。</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ind w:left="0" w:leftChars="0" w:firstLine="0" w:firstLineChars="0"/>
              <w:jc w:val="center"/>
              <w:rPr>
                <w:rFonts w:hint="eastAsia" w:eastAsia="仿宋"/>
                <w:color w:val="000000"/>
                <w:szCs w:val="28"/>
                <w:vertAlign w:val="baseline"/>
                <w:lang w:eastAsia="zh-CN"/>
              </w:rPr>
            </w:pPr>
            <w:r>
              <w:rPr>
                <w:rFonts w:hint="eastAsia" w:eastAsia="仿宋"/>
                <w:color w:val="000000"/>
                <w:szCs w:val="28"/>
                <w:vertAlign w:val="baseline"/>
                <w:lang w:eastAsia="zh-CN"/>
              </w:rPr>
              <w:drawing>
                <wp:inline distT="0" distB="0" distL="114300" distR="114300">
                  <wp:extent cx="2867025" cy="3576320"/>
                  <wp:effectExtent l="0" t="0" r="9525" b="5080"/>
                  <wp:docPr id="75" name="图片 7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3"/>
                          <pic:cNvPicPr>
                            <a:picLocks noChangeAspect="1"/>
                          </pic:cNvPicPr>
                        </pic:nvPicPr>
                        <pic:blipFill>
                          <a:blip r:embed="rId36"/>
                          <a:srcRect b="6203"/>
                          <a:stretch>
                            <a:fillRect/>
                          </a:stretch>
                        </pic:blipFill>
                        <pic:spPr>
                          <a:xfrm>
                            <a:off x="0" y="0"/>
                            <a:ext cx="2867025" cy="3576320"/>
                          </a:xfrm>
                          <a:prstGeom prst="rect">
                            <a:avLst/>
                          </a:prstGeom>
                        </pic:spPr>
                      </pic:pic>
                    </a:graphicData>
                  </a:graphic>
                </wp:inline>
              </w:drawing>
            </w:r>
          </w:p>
        </w:tc>
      </w:tr>
    </w:tbl>
    <w:p>
      <w:pPr>
        <w:ind w:firstLine="560"/>
        <w:rPr>
          <w:rFonts w:hint="eastAsia"/>
          <w:color w:val="000000"/>
          <w:szCs w:val="28"/>
        </w:rPr>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（7）台前金水国家湿地公园（国家级湿地公园）</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被列为2015年市重点监控项目，项目西起台前县城关镇高庙桥，东至吴坝镇张庄入黄闸，概算投资3.5亿元，总面积1407.3公顷，全长约30公里，其范围含防护堤以内所有区域及两侧部分林地和绿地，划分为保护保育区、恢复重建区、宣教展示区、合理利用区和管理服务区等5个功能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该公园以金堤河湿地景观为依托，以湿地生态、滨水休闲、湿地文化为核心特色，整合沿河两岸的自然及人文景观资源，充分利用湿地公园及其周边的自然资源和景观资源，将湿地公园建成防洪灌溉能力强大、水质优良、生物丰富多样、整体形象突出、基础设施完备、湿地景观独特的集调蓄洪水、湿地科普宣教、湿地文化体验、湿地生态休闲等四大功能于一体的国家级湿地公园。</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34" w:type="dxa"/>
          </w:tcPr>
          <w:p>
            <w:pPr>
              <w:ind w:left="0" w:leftChars="0" w:firstLine="0" w:firstLineChars="0"/>
              <w:jc w:val="both"/>
              <w:rPr>
                <w:rFonts w:hint="eastAsia"/>
                <w:color w:val="000000"/>
                <w:szCs w:val="28"/>
                <w:vertAlign w:val="baseline"/>
              </w:rPr>
            </w:pPr>
            <w:r>
              <w:rPr>
                <w:rFonts w:hint="eastAsia"/>
                <w:color w:val="000000"/>
                <w:szCs w:val="28"/>
              </w:rPr>
              <w:drawing>
                <wp:inline distT="0" distB="0" distL="0" distR="0">
                  <wp:extent cx="5153660" cy="2918460"/>
                  <wp:effectExtent l="0" t="0" r="88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a:extLst>
                              <a:ext uri="{28A0092B-C50C-407E-A947-70E740481C1C}">
                                <a14:useLocalDpi xmlns:a14="http://schemas.microsoft.com/office/drawing/2010/main" val="0"/>
                              </a:ext>
                            </a:extLst>
                          </a:blip>
                          <a:srcRect b="18778"/>
                          <a:stretch>
                            <a:fillRect/>
                          </a:stretch>
                        </pic:blipFill>
                        <pic:spPr>
                          <a:xfrm>
                            <a:off x="0" y="0"/>
                            <a:ext cx="5153660" cy="2918460"/>
                          </a:xfrm>
                          <a:prstGeom prst="rect">
                            <a:avLst/>
                          </a:prstGeom>
                        </pic:spPr>
                      </pic:pic>
                    </a:graphicData>
                  </a:graphic>
                </wp:inline>
              </w:drawing>
            </w:r>
          </w:p>
        </w:tc>
      </w:tr>
    </w:tbl>
    <w:p>
      <w:pPr>
        <w:pStyle w:val="4"/>
        <w:rPr>
          <w:rFonts w:hint="eastAsia" w:ascii="宋体" w:hAnsi="宋体" w:eastAsia="宋体" w:cs="宋体"/>
          <w:lang w:val="en-US" w:eastAsia="zh-CN"/>
        </w:rPr>
      </w:pPr>
      <w:r>
        <w:rPr>
          <w:rFonts w:hint="eastAsia" w:ascii="宋体" w:hAnsi="宋体" w:eastAsia="宋体" w:cs="宋体"/>
          <w:lang w:val="en-US" w:eastAsia="zh-CN"/>
        </w:rPr>
        <w:t xml:space="preserve"> 二、森林风景资源评价</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（一）定性评价</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森林公园地处台前县城镇西侧，北侧毗邻黄河的下游支流——金堤河，公园内部地势平坦，虽无山岛</w:t>
      </w:r>
      <w:r>
        <w:rPr>
          <w:rFonts w:hint="eastAsia" w:eastAsia="宋体" w:cs="Times New Roman"/>
          <w:color w:val="auto"/>
          <w:sz w:val="28"/>
          <w:szCs w:val="28"/>
          <w:lang w:eastAsia="zh-CN"/>
        </w:rPr>
        <w:t>耸峙</w:t>
      </w:r>
      <w:r>
        <w:rPr>
          <w:rFonts w:hint="eastAsia" w:eastAsia="宋体" w:cs="Times New Roman"/>
          <w:color w:val="auto"/>
          <w:sz w:val="28"/>
          <w:szCs w:val="28"/>
        </w:rPr>
        <w:t>，却有水流澹澹，茂林修竹，果林飘香，朝阳晚霞，风景资源十分丰富优美，是休闲度假的天然“大氧吧”，也是科普教育的天然“大课堂”。丰富的森林旅游资源，给西凤省级森林公园的旅游发展提供了广阔的空间。</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1．苍郁婀娜的森林景观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森林公园内植被类型丰富，人工林气势宏伟，季相景观鲜明。</w:t>
      </w:r>
      <w:r>
        <w:rPr>
          <w:rFonts w:hint="eastAsia" w:eastAsia="宋体" w:cs="Times New Roman"/>
          <w:color w:val="auto"/>
          <w:sz w:val="28"/>
          <w:szCs w:val="28"/>
          <w:lang w:val="en-US" w:eastAsia="zh-CN"/>
        </w:rPr>
        <w:t>据调查，</w:t>
      </w:r>
      <w:r>
        <w:rPr>
          <w:rFonts w:hint="eastAsia" w:eastAsia="宋体" w:cs="Times New Roman"/>
          <w:color w:val="auto"/>
          <w:sz w:val="28"/>
          <w:szCs w:val="28"/>
        </w:rPr>
        <w:t>森林公园</w:t>
      </w:r>
      <w:r>
        <w:rPr>
          <w:rFonts w:hint="eastAsia" w:eastAsia="宋体" w:cs="Times New Roman"/>
          <w:color w:val="auto"/>
          <w:sz w:val="28"/>
          <w:szCs w:val="28"/>
          <w:lang w:val="en-US" w:eastAsia="zh-CN"/>
        </w:rPr>
        <w:t>内</w:t>
      </w:r>
      <w:r>
        <w:rPr>
          <w:rFonts w:hint="eastAsia" w:eastAsia="宋体" w:cs="Times New Roman"/>
          <w:color w:val="auto"/>
          <w:sz w:val="28"/>
          <w:szCs w:val="28"/>
        </w:rPr>
        <w:t>共有植</w:t>
      </w:r>
      <w:r>
        <w:rPr>
          <w:rFonts w:hint="eastAsia" w:eastAsia="宋体" w:cs="Times New Roman"/>
          <w:color w:val="auto"/>
          <w:sz w:val="28"/>
          <w:szCs w:val="28"/>
          <w:lang w:val="en-US" w:eastAsia="zh-CN"/>
        </w:rPr>
        <w:t>物27科，45属，54种。</w:t>
      </w:r>
      <w:r>
        <w:rPr>
          <w:rFonts w:hint="eastAsia" w:eastAsia="宋体" w:cs="Times New Roman"/>
          <w:color w:val="auto"/>
          <w:sz w:val="28"/>
          <w:szCs w:val="28"/>
        </w:rPr>
        <w:t>公园内植物种类以乔木林为主，植被较为茂盛。其中有许多极富观赏价值的植物</w:t>
      </w:r>
      <w:r>
        <w:rPr>
          <w:rFonts w:hint="eastAsia" w:eastAsia="宋体" w:cs="Times New Roman"/>
          <w:color w:val="auto"/>
          <w:sz w:val="28"/>
          <w:szCs w:val="28"/>
          <w:lang w:eastAsia="zh-CN"/>
        </w:rPr>
        <w:t>；</w:t>
      </w:r>
      <w:r>
        <w:rPr>
          <w:rFonts w:hint="eastAsia" w:eastAsia="宋体" w:cs="Times New Roman"/>
          <w:color w:val="auto"/>
          <w:sz w:val="28"/>
          <w:szCs w:val="28"/>
        </w:rPr>
        <w:t>按观赏植物部位划分，观茎类植物有油松、刺槐、雪松、侧柏、白皮松等；观花类植物有美人梅、西府海棠、紫薇、腊梅、大花萱草、紫云英、迎春等；观果类植物有核桃、苹果、樱桃等；观叶类植物有</w:t>
      </w:r>
      <w:r>
        <w:rPr>
          <w:rFonts w:hint="eastAsia" w:eastAsia="宋体" w:cs="Times New Roman"/>
          <w:color w:val="auto"/>
          <w:sz w:val="28"/>
          <w:szCs w:val="28"/>
          <w:lang w:val="en-US" w:eastAsia="zh-CN"/>
        </w:rPr>
        <w:t>悬铃木</w:t>
      </w:r>
      <w:r>
        <w:rPr>
          <w:rFonts w:hint="eastAsia" w:eastAsia="宋体" w:cs="Times New Roman"/>
          <w:color w:val="auto"/>
          <w:sz w:val="28"/>
          <w:szCs w:val="28"/>
        </w:rPr>
        <w:t>、银杏、栾树、红枫、石楠、紫叶李等。</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（1）林相景观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森林公园内人工针叶林生长茂盛、气势宏伟；针阔混交林深浅交错，相得益彰；落叶、常绿混交林季相丰富，绚丽多姿；灌丛与亲水植物也是别具情趣。</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（2）季相景观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内植被丰富，植物种类繁多，形成了变化丰富的森林季相景观。初春，鲜花盛开，草木蔓发，松绿竹黄，百鸟争鸣；盛夏，林木茂盛，灌木叠丛，绿荫沉凝，野藤缠绕，苔藓低伏；深秋，松竹沉黛，红叶满地，硕果缀枝，百草含芳；隆冬，风荡林海，林色凝重，似露峥嵘。景象万千的西凤省级森林公园，真可谓春花烂漫，夏荫浓郁，秋色绚丽，冬裹银妆。</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2．丰富多彩的动物景观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西凤省级森林公园保存良好的植被、优良的森林生态环境，孕育着多种野生动物。漫行于林</w:t>
      </w:r>
      <w:r>
        <w:rPr>
          <w:rFonts w:hint="eastAsia" w:eastAsia="宋体" w:cs="Times New Roman"/>
          <w:color w:val="auto"/>
          <w:sz w:val="28"/>
          <w:szCs w:val="28"/>
          <w:lang w:val="en-US" w:eastAsia="zh-CN"/>
        </w:rPr>
        <w:t>水</w:t>
      </w:r>
      <w:r>
        <w:rPr>
          <w:rFonts w:hint="eastAsia" w:eastAsia="宋体" w:cs="Times New Roman"/>
          <w:color w:val="auto"/>
          <w:sz w:val="28"/>
          <w:szCs w:val="28"/>
        </w:rPr>
        <w:t>之间，或见青蛙弹跳或闻鸟声啾啾，或见大雁翱翔。茂密的森林和蜿蜒的水流，为野生动物提供了栖息繁衍的理想场所，也为西凤省级森林公园增添了勃勃生机。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3．瑰丽多姿的水体景观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梁庙沟</w:t>
      </w:r>
      <w:r>
        <w:rPr>
          <w:rFonts w:hint="eastAsia" w:eastAsia="宋体" w:cs="Times New Roman"/>
          <w:color w:val="auto"/>
          <w:sz w:val="28"/>
          <w:szCs w:val="28"/>
        </w:rPr>
        <w:t>像一条丝带一样，</w:t>
      </w:r>
      <w:r>
        <w:rPr>
          <w:rFonts w:hint="eastAsia" w:eastAsia="宋体" w:cs="Times New Roman"/>
          <w:color w:val="auto"/>
          <w:sz w:val="28"/>
          <w:szCs w:val="28"/>
          <w:lang w:val="en-US" w:eastAsia="zh-CN"/>
        </w:rPr>
        <w:t>飘</w:t>
      </w:r>
      <w:r>
        <w:rPr>
          <w:rFonts w:hint="eastAsia" w:eastAsia="宋体" w:cs="Times New Roman"/>
          <w:color w:val="auto"/>
          <w:sz w:val="28"/>
          <w:szCs w:val="28"/>
        </w:rPr>
        <w:t>在苍郁的林间，把西凤森林公园</w:t>
      </w:r>
      <w:r>
        <w:rPr>
          <w:rFonts w:hint="eastAsia" w:eastAsia="宋体" w:cs="Times New Roman"/>
          <w:color w:val="auto"/>
          <w:sz w:val="28"/>
          <w:szCs w:val="28"/>
          <w:lang w:eastAsia="zh-CN"/>
        </w:rPr>
        <w:t>点缀得分外妖娆</w:t>
      </w:r>
      <w:r>
        <w:rPr>
          <w:rFonts w:hint="eastAsia" w:eastAsia="宋体" w:cs="Times New Roman"/>
          <w:color w:val="auto"/>
          <w:sz w:val="28"/>
          <w:szCs w:val="28"/>
        </w:rPr>
        <w:t>，碧水绿林浑然一体，形成婀娜多姿的水光林色</w:t>
      </w:r>
      <w:r>
        <w:rPr>
          <w:rFonts w:hint="eastAsia" w:eastAsia="宋体" w:cs="Times New Roman"/>
          <w:color w:val="auto"/>
          <w:sz w:val="28"/>
          <w:szCs w:val="28"/>
          <w:lang w:eastAsia="zh-CN"/>
        </w:rPr>
        <w:t>，</w:t>
      </w:r>
      <w:r>
        <w:rPr>
          <w:rFonts w:hint="eastAsia" w:eastAsia="宋体" w:cs="Times New Roman"/>
          <w:color w:val="auto"/>
          <w:sz w:val="28"/>
          <w:szCs w:val="28"/>
        </w:rPr>
        <w:t>构成了各种多姿的水景和城郊森林公园灵动的脉络。</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梁庙沟中段的湖面</w:t>
      </w:r>
      <w:r>
        <w:rPr>
          <w:rFonts w:hint="eastAsia" w:eastAsia="宋体" w:cs="Times New Roman"/>
          <w:color w:val="auto"/>
          <w:sz w:val="28"/>
          <w:szCs w:val="28"/>
        </w:rPr>
        <w:t>，</w:t>
      </w:r>
      <w:r>
        <w:rPr>
          <w:rFonts w:hint="eastAsia" w:eastAsia="宋体" w:cs="Times New Roman"/>
          <w:color w:val="auto"/>
          <w:sz w:val="28"/>
          <w:szCs w:val="28"/>
          <w:lang w:val="en-US" w:eastAsia="zh-CN"/>
        </w:rPr>
        <w:t>像</w:t>
      </w:r>
      <w:r>
        <w:rPr>
          <w:rFonts w:hint="eastAsia" w:eastAsia="宋体" w:cs="Times New Roman"/>
          <w:color w:val="auto"/>
          <w:sz w:val="28"/>
          <w:szCs w:val="28"/>
        </w:rPr>
        <w:t>镶嵌于翠绿碧盘上的一面银镜</w:t>
      </w:r>
      <w:r>
        <w:rPr>
          <w:rFonts w:hint="eastAsia" w:eastAsia="宋体" w:cs="Times New Roman"/>
          <w:color w:val="auto"/>
          <w:sz w:val="28"/>
          <w:szCs w:val="28"/>
          <w:lang w:eastAsia="zh-CN"/>
        </w:rPr>
        <w:t>，</w:t>
      </w:r>
      <w:r>
        <w:rPr>
          <w:rFonts w:hint="eastAsia" w:eastAsia="宋体" w:cs="Times New Roman"/>
          <w:color w:val="auto"/>
          <w:sz w:val="28"/>
          <w:szCs w:val="28"/>
          <w:lang w:val="en-US" w:eastAsia="zh-CN"/>
        </w:rPr>
        <w:t>内设生态岛，</w:t>
      </w:r>
      <w:r>
        <w:rPr>
          <w:rFonts w:hint="eastAsia" w:eastAsia="宋体" w:cs="Times New Roman"/>
          <w:color w:val="auto"/>
          <w:sz w:val="28"/>
          <w:szCs w:val="28"/>
        </w:rPr>
        <w:t>偶有鸟虫停于水面，激起涟漪，水面清碧，沁人心脾，鱼翔浅底，树影摇曳，美不胜收。湖水澄清，波光粼粼，幽深的湖区水面气象万千，梦幻诱人。晴天，盈盈绿水，微波荡漾；雨天，薄霭微云，水面跳珠。每当晨曦初启或夕阳西下，满湖碧水金光闪闪，银星点点；每至皓月当空，湖中树影朦胧，错落有致。湖水茫茫，万木叠翠，微风徐来，浪涛声伴着林涛声，仿佛悦耳的二重唱，令人心旷神怡。</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5．神奇梦幻的天象景观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台前县位于华北地区，阳光充足，昼夜温差较大，加上公园内林郁葱葱，不时被会云雾笼罩。云雾</w:t>
      </w:r>
      <w:r>
        <w:rPr>
          <w:rFonts w:hint="eastAsia" w:eastAsia="宋体" w:cs="Times New Roman"/>
          <w:color w:val="auto"/>
          <w:sz w:val="28"/>
          <w:szCs w:val="28"/>
          <w:lang w:eastAsia="zh-CN"/>
        </w:rPr>
        <w:t>飘渺</w:t>
      </w:r>
      <w:r>
        <w:rPr>
          <w:rFonts w:hint="eastAsia" w:eastAsia="宋体" w:cs="Times New Roman"/>
          <w:color w:val="auto"/>
          <w:sz w:val="28"/>
          <w:szCs w:val="28"/>
        </w:rPr>
        <w:t>、云腾烟涌，如奔马，似银绸，弥漫四合。云</w:t>
      </w:r>
      <w:r>
        <w:rPr>
          <w:rFonts w:hint="eastAsia" w:eastAsia="宋体" w:cs="Times New Roman"/>
          <w:color w:val="auto"/>
          <w:sz w:val="28"/>
          <w:szCs w:val="28"/>
          <w:lang w:val="en-US" w:eastAsia="zh-CN"/>
        </w:rPr>
        <w:t>雾</w:t>
      </w:r>
      <w:r>
        <w:rPr>
          <w:rFonts w:hint="eastAsia" w:eastAsia="宋体" w:cs="Times New Roman"/>
          <w:color w:val="auto"/>
          <w:sz w:val="28"/>
          <w:szCs w:val="28"/>
        </w:rPr>
        <w:t>中疏影横斜，景色万千，令人叹为观止。大雾弥漫，云海茫茫，给西凤省级森林公园涂上了一层神秘的色彩。</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6．凉爽宜人的气候资源</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城郊森林公园局部小气候十分明显，四季分明，盛夏凉爽宜人，是</w:t>
      </w:r>
      <w:r>
        <w:rPr>
          <w:rFonts w:hint="eastAsia" w:eastAsia="宋体" w:cs="Times New Roman"/>
          <w:color w:val="auto"/>
          <w:sz w:val="28"/>
          <w:szCs w:val="28"/>
          <w:lang w:val="en-US" w:eastAsia="zh-CN"/>
        </w:rPr>
        <w:t>休闲</w:t>
      </w:r>
      <w:r>
        <w:rPr>
          <w:rFonts w:hint="eastAsia" w:eastAsia="宋体" w:cs="Times New Roman"/>
          <w:color w:val="auto"/>
          <w:sz w:val="28"/>
          <w:szCs w:val="28"/>
        </w:rPr>
        <w:t>度假的理想场所。即便是在无风炎炎夏日，由于公园内群植的葱郁乔木，地面覆盖的浓密灌木丛以及水系流动的作用，漫步在公园内也能感受到一片“清凉世界”，西凤森林公园也成了城郊的一处气候宜人的“世外桃源”。</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（二）定量评价</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1.评价原则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以对森林公园风景资源的详细调查为基础，按风景资源的特性和相关程度进行分类、分级。通过定量评价，进行森林公园风景资源质量综合性评定。</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2.评价分值</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森林公园风景资源质量评价分值按指定的评价方法获得，满分值为30分。</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3.评价方法</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通过对风景资源的评价因子评分值加权计算获得风景资源基本质量分值，结合风景资源组合状况评分值和特色附加分值获得森林风景资源质量评价分值。详见表2-1。</w:t>
      </w: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480" w:firstLineChars="0"/>
        <w:jc w:val="center"/>
        <w:rPr>
          <w:rFonts w:ascii="黑体" w:hAnsi="黑体" w:eastAsia="黑体" w:cs="Times New Roman"/>
          <w:color w:val="auto"/>
          <w:sz w:val="24"/>
        </w:rPr>
      </w:pPr>
      <w:r>
        <w:rPr>
          <w:rFonts w:hint="eastAsia" w:ascii="黑体" w:hAnsi="黑体" w:eastAsia="黑体" w:cs="Times New Roman"/>
          <w:color w:val="auto"/>
          <w:sz w:val="24"/>
        </w:rPr>
        <w:t>表</w:t>
      </w:r>
      <w:r>
        <w:rPr>
          <w:rFonts w:ascii="黑体" w:hAnsi="黑体" w:eastAsia="黑体" w:cs="Times New Roman"/>
          <w:color w:val="auto"/>
          <w:sz w:val="24"/>
        </w:rPr>
        <w:t>2-1</w:t>
      </w:r>
      <w:r>
        <w:rPr>
          <w:rFonts w:hint="eastAsia" w:ascii="黑体" w:hAnsi="黑体" w:eastAsia="黑体" w:cs="Times New Roman"/>
          <w:color w:val="auto"/>
          <w:sz w:val="24"/>
        </w:rPr>
        <w:t>森林公园风景资源质量评价表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353"/>
        <w:gridCol w:w="677"/>
        <w:gridCol w:w="1043"/>
        <w:gridCol w:w="1151"/>
        <w:gridCol w:w="677"/>
        <w:gridCol w:w="1192"/>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692" w:type="pct"/>
            <w:vMerge w:val="restart"/>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资源</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类型</w:t>
            </w:r>
          </w:p>
        </w:tc>
        <w:tc>
          <w:tcPr>
            <w:tcW w:w="793" w:type="pct"/>
            <w:vMerge w:val="restart"/>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评价</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因子</w:t>
            </w:r>
          </w:p>
        </w:tc>
        <w:tc>
          <w:tcPr>
            <w:tcW w:w="397" w:type="pct"/>
            <w:vMerge w:val="restart"/>
            <w:tcMar>
              <w:left w:w="28" w:type="dxa"/>
              <w:right w:w="28" w:type="dxa"/>
            </w:tcMar>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权值</w:t>
            </w:r>
          </w:p>
        </w:tc>
        <w:tc>
          <w:tcPr>
            <w:tcW w:w="612" w:type="pct"/>
            <w:vMerge w:val="restart"/>
            <w:vAlign w:val="center"/>
          </w:tcPr>
          <w:p>
            <w:pPr>
              <w:widowControl/>
              <w:adjustRightInd/>
              <w:snapToGrid/>
              <w:spacing w:line="240" w:lineRule="auto"/>
              <w:ind w:firstLine="0" w:firstLineChars="0"/>
              <w:jc w:val="both"/>
              <w:rPr>
                <w:rFonts w:eastAsia="宋体" w:cs="Times New Roman"/>
                <w:b/>
                <w:color w:val="auto"/>
                <w:sz w:val="21"/>
                <w:szCs w:val="21"/>
              </w:rPr>
            </w:pPr>
            <w:r>
              <w:rPr>
                <w:rFonts w:hint="eastAsia" w:eastAsia="宋体" w:cs="Times New Roman"/>
                <w:b/>
                <w:color w:val="auto"/>
                <w:sz w:val="21"/>
                <w:szCs w:val="21"/>
              </w:rPr>
              <w:t>得分值</w:t>
            </w:r>
          </w:p>
        </w:tc>
        <w:tc>
          <w:tcPr>
            <w:tcW w:w="675" w:type="pct"/>
            <w:vMerge w:val="restart"/>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初步</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汇总</w:t>
            </w:r>
          </w:p>
        </w:tc>
        <w:tc>
          <w:tcPr>
            <w:tcW w:w="397" w:type="pct"/>
            <w:vMerge w:val="restart"/>
            <w:tcMar>
              <w:left w:w="28" w:type="dxa"/>
              <w:right w:w="28" w:type="dxa"/>
            </w:tcMar>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权数</w:t>
            </w:r>
          </w:p>
        </w:tc>
        <w:tc>
          <w:tcPr>
            <w:tcW w:w="698" w:type="pct"/>
            <w:vMerge w:val="restart"/>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基本</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质量</w:t>
            </w:r>
          </w:p>
        </w:tc>
        <w:tc>
          <w:tcPr>
            <w:tcW w:w="733" w:type="pct"/>
            <w:vMerge w:val="restart"/>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资源</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jc w:val="center"/>
        </w:trPr>
        <w:tc>
          <w:tcPr>
            <w:tcW w:w="692" w:type="pct"/>
            <w:vMerge w:val="continue"/>
            <w:vAlign w:val="center"/>
          </w:tcPr>
          <w:p>
            <w:pPr>
              <w:widowControl/>
              <w:ind w:firstLine="560"/>
              <w:jc w:val="center"/>
              <w:rPr>
                <w:rFonts w:eastAsia="楷体"/>
                <w:kern w:val="0"/>
                <w:szCs w:val="21"/>
              </w:rPr>
            </w:pPr>
          </w:p>
        </w:tc>
        <w:tc>
          <w:tcPr>
            <w:tcW w:w="793" w:type="pct"/>
            <w:vMerge w:val="continue"/>
            <w:vAlign w:val="center"/>
          </w:tcPr>
          <w:p>
            <w:pPr>
              <w:widowControl/>
              <w:ind w:firstLine="560"/>
              <w:jc w:val="center"/>
              <w:rPr>
                <w:rFonts w:eastAsia="楷体"/>
                <w:kern w:val="0"/>
                <w:szCs w:val="21"/>
              </w:rPr>
            </w:pPr>
          </w:p>
        </w:tc>
        <w:tc>
          <w:tcPr>
            <w:tcW w:w="397" w:type="pct"/>
            <w:vMerge w:val="continue"/>
            <w:tcMar>
              <w:left w:w="28" w:type="dxa"/>
              <w:right w:w="28" w:type="dxa"/>
            </w:tcMar>
            <w:vAlign w:val="center"/>
          </w:tcPr>
          <w:p>
            <w:pPr>
              <w:widowControl/>
              <w:ind w:firstLine="560"/>
              <w:jc w:val="center"/>
              <w:rPr>
                <w:rFonts w:eastAsia="楷体"/>
                <w:kern w:val="0"/>
                <w:szCs w:val="21"/>
              </w:rPr>
            </w:pPr>
          </w:p>
        </w:tc>
        <w:tc>
          <w:tcPr>
            <w:tcW w:w="612" w:type="pct"/>
            <w:vMerge w:val="continue"/>
            <w:vAlign w:val="center"/>
          </w:tcPr>
          <w:p>
            <w:pPr>
              <w:widowControl/>
              <w:ind w:firstLine="560"/>
              <w:jc w:val="center"/>
              <w:rPr>
                <w:rFonts w:eastAsia="楷体"/>
                <w:kern w:val="0"/>
                <w:szCs w:val="21"/>
              </w:rPr>
            </w:pPr>
          </w:p>
        </w:tc>
        <w:tc>
          <w:tcPr>
            <w:tcW w:w="675" w:type="pct"/>
            <w:vMerge w:val="continue"/>
            <w:vAlign w:val="center"/>
          </w:tcPr>
          <w:p>
            <w:pPr>
              <w:widowControl/>
              <w:ind w:firstLine="560"/>
              <w:jc w:val="center"/>
              <w:rPr>
                <w:rFonts w:eastAsia="楷体"/>
                <w:kern w:val="0"/>
                <w:szCs w:val="21"/>
              </w:rPr>
            </w:pPr>
          </w:p>
        </w:tc>
        <w:tc>
          <w:tcPr>
            <w:tcW w:w="397" w:type="pct"/>
            <w:vMerge w:val="continue"/>
            <w:tcMar>
              <w:left w:w="28" w:type="dxa"/>
              <w:right w:w="28" w:type="dxa"/>
            </w:tcMar>
            <w:vAlign w:val="center"/>
          </w:tcPr>
          <w:p>
            <w:pPr>
              <w:widowControl/>
              <w:ind w:firstLine="560"/>
              <w:jc w:val="center"/>
              <w:rPr>
                <w:rFonts w:eastAsia="楷体"/>
                <w:kern w:val="0"/>
                <w:szCs w:val="21"/>
              </w:rPr>
            </w:pPr>
          </w:p>
        </w:tc>
        <w:tc>
          <w:tcPr>
            <w:tcW w:w="698" w:type="pct"/>
            <w:vMerge w:val="continue"/>
            <w:vAlign w:val="center"/>
          </w:tcPr>
          <w:p>
            <w:pPr>
              <w:widowControl/>
              <w:ind w:firstLine="560"/>
              <w:jc w:val="center"/>
              <w:rPr>
                <w:rFonts w:eastAsia="楷体"/>
                <w:kern w:val="0"/>
                <w:szCs w:val="21"/>
              </w:rPr>
            </w:pPr>
          </w:p>
        </w:tc>
        <w:tc>
          <w:tcPr>
            <w:tcW w:w="733" w:type="pct"/>
            <w:vMerge w:val="continue"/>
            <w:vAlign w:val="center"/>
          </w:tcPr>
          <w:p>
            <w:pPr>
              <w:widowControl/>
              <w:ind w:firstLine="560"/>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bookmarkStart w:id="43" w:name="_Hlk330911394"/>
            <w:r>
              <w:rPr>
                <w:rFonts w:hint="eastAsia" w:eastAsia="宋体" w:cs="Times New Roman"/>
                <w:color w:val="auto"/>
                <w:sz w:val="21"/>
                <w:szCs w:val="21"/>
              </w:rPr>
              <w:t>地文</w:t>
            </w:r>
          </w:p>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w:t>
            </w: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典型度</w:t>
            </w:r>
          </w:p>
        </w:tc>
        <w:tc>
          <w:tcPr>
            <w:tcW w:w="397" w:type="pct"/>
            <w:tcMar>
              <w:left w:w="28" w:type="dxa"/>
              <w:right w:w="28" w:type="dxa"/>
            </w:tcMar>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12" w:type="pct"/>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5" w:type="pct"/>
            <w:vMerge w:val="restart"/>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97" w:type="pct"/>
            <w:vMerge w:val="restart"/>
            <w:tcMar>
              <w:left w:w="28" w:type="dxa"/>
              <w:right w:w="28" w:type="dxa"/>
            </w:tcMar>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98" w:type="pct"/>
            <w:vMerge w:val="restart"/>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15.8</w:t>
            </w:r>
          </w:p>
        </w:tc>
        <w:tc>
          <w:tcPr>
            <w:tcW w:w="733"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r>
              <w:rPr>
                <w:rFonts w:hint="default" w:ascii="Times New Roman" w:hAnsi="Times New Roman" w:eastAsia="宋体" w:cs="Times New Roman"/>
                <w:b/>
                <w:bCs/>
                <w:color w:val="auto"/>
                <w:sz w:val="21"/>
                <w:szCs w:val="21"/>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自然度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吸引度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多样度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科学度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水文</w:t>
            </w:r>
          </w:p>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w:t>
            </w: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典型度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restar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16</w:t>
            </w:r>
          </w:p>
        </w:tc>
        <w:tc>
          <w:tcPr>
            <w:tcW w:w="397" w:type="pct"/>
            <w:vMerge w:val="restar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20</w:t>
            </w: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自然度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吸引度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多样度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科学度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生物</w:t>
            </w:r>
          </w:p>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w:t>
            </w: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地带度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10</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675" w:type="pct"/>
            <w:vMerge w:val="restar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24</w:t>
            </w:r>
          </w:p>
        </w:tc>
        <w:tc>
          <w:tcPr>
            <w:tcW w:w="397" w:type="pct"/>
            <w:vMerge w:val="restar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40</w:t>
            </w: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珍稀度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10</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多样度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8</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吸引度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科学度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6</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人文</w:t>
            </w:r>
          </w:p>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w:t>
            </w: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珍稀度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restar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12</w:t>
            </w:r>
          </w:p>
        </w:tc>
        <w:tc>
          <w:tcPr>
            <w:tcW w:w="397" w:type="pct"/>
            <w:vMerge w:val="restar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15</w:t>
            </w: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典型度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4</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多样度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吸引度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科学度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restar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天象</w:t>
            </w:r>
          </w:p>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w:t>
            </w: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多样度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0.8</w:t>
            </w:r>
          </w:p>
        </w:tc>
        <w:tc>
          <w:tcPr>
            <w:tcW w:w="675" w:type="pct"/>
            <w:vMerge w:val="restar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3.9</w:t>
            </w:r>
          </w:p>
        </w:tc>
        <w:tc>
          <w:tcPr>
            <w:tcW w:w="397" w:type="pct"/>
            <w:vMerge w:val="restar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5</w:t>
            </w:r>
          </w:p>
        </w:tc>
        <w:tc>
          <w:tcPr>
            <w:tcW w:w="698" w:type="pct"/>
            <w:vMerge w:val="continue"/>
            <w:vAlign w:val="center"/>
          </w:tcPr>
          <w:p>
            <w:pPr>
              <w:widowControl/>
              <w:ind w:firstLine="480"/>
              <w:jc w:val="center"/>
              <w:rPr>
                <w:rFonts w:hint="default" w:ascii="Times New Roman" w:hAnsi="Times New Roman" w:cs="Times New Roman"/>
                <w:sz w:val="24"/>
              </w:rPr>
            </w:pPr>
          </w:p>
        </w:tc>
        <w:tc>
          <w:tcPr>
            <w:tcW w:w="733" w:type="pct"/>
            <w:vMerge w:val="continue"/>
            <w:vAlign w:val="center"/>
          </w:tcPr>
          <w:p>
            <w:pPr>
              <w:widowControl/>
              <w:ind w:firstLine="480"/>
              <w:jc w:val="center"/>
              <w:rPr>
                <w:rFonts w:ascii="仿宋" w:hAnsi="仿宋" w:cs="仿宋"/>
                <w:sz w:val="24"/>
              </w:rPr>
            </w:pP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珍稀度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0.8</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733" w:type="pct"/>
            <w:vMerge w:val="continue"/>
            <w:vAlign w:val="center"/>
          </w:tcPr>
          <w:p>
            <w:pPr>
              <w:topLinePunct/>
              <w:spacing w:line="36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典型度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0.8</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733" w:type="pct"/>
            <w:vMerge w:val="continue"/>
            <w:vAlign w:val="center"/>
          </w:tcPr>
          <w:p>
            <w:pPr>
              <w:topLinePunct/>
              <w:spacing w:line="36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吸引度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0.8</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733" w:type="pct"/>
            <w:vMerge w:val="continue"/>
            <w:vAlign w:val="center"/>
          </w:tcPr>
          <w:p>
            <w:pPr>
              <w:topLinePunct/>
              <w:spacing w:line="36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92" w:type="pct"/>
            <w:vMerge w:val="continue"/>
            <w:vAlign w:val="center"/>
          </w:tcPr>
          <w:p>
            <w:pPr>
              <w:widowControl/>
              <w:adjustRightInd/>
              <w:snapToGrid/>
              <w:spacing w:line="240" w:lineRule="auto"/>
              <w:ind w:firstLine="0" w:firstLineChars="0"/>
              <w:jc w:val="center"/>
              <w:rPr>
                <w:rFonts w:eastAsia="宋体" w:cs="Times New Roman"/>
                <w:color w:val="auto"/>
                <w:sz w:val="21"/>
                <w:szCs w:val="21"/>
              </w:rPr>
            </w:pPr>
          </w:p>
        </w:tc>
        <w:tc>
          <w:tcPr>
            <w:tcW w:w="793" w:type="pct"/>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利用度</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w:t>
            </w:r>
          </w:p>
        </w:tc>
        <w:tc>
          <w:tcPr>
            <w:tcW w:w="612" w:type="pct"/>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0.7</w:t>
            </w:r>
          </w:p>
        </w:tc>
        <w:tc>
          <w:tcPr>
            <w:tcW w:w="675"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397" w:type="pct"/>
            <w:vMerge w:val="continue"/>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p>
        </w:tc>
        <w:tc>
          <w:tcPr>
            <w:tcW w:w="698" w:type="pct"/>
            <w:vMerge w:val="continue"/>
            <w:vAlign w:val="center"/>
          </w:tcPr>
          <w:p>
            <w:pPr>
              <w:topLinePunct/>
              <w:spacing w:line="360" w:lineRule="exact"/>
              <w:ind w:firstLine="0" w:firstLineChars="0"/>
              <w:jc w:val="center"/>
              <w:rPr>
                <w:rFonts w:hint="default" w:ascii="Times New Roman" w:hAnsi="Times New Roman" w:cs="Times New Roman"/>
                <w:sz w:val="24"/>
              </w:rPr>
            </w:pPr>
          </w:p>
        </w:tc>
        <w:tc>
          <w:tcPr>
            <w:tcW w:w="733" w:type="pct"/>
            <w:vMerge w:val="continue"/>
            <w:vAlign w:val="center"/>
          </w:tcPr>
          <w:p>
            <w:pPr>
              <w:topLinePunct/>
              <w:spacing w:line="360" w:lineRule="exact"/>
              <w:ind w:firstLine="0" w:firstLineChars="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86" w:type="pct"/>
            <w:gridSpan w:val="2"/>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资源组合状况</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1.5</w:t>
            </w:r>
          </w:p>
        </w:tc>
        <w:tc>
          <w:tcPr>
            <w:tcW w:w="2383" w:type="pct"/>
            <w:gridSpan w:val="4"/>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1.3</w:t>
            </w:r>
          </w:p>
        </w:tc>
        <w:tc>
          <w:tcPr>
            <w:tcW w:w="733" w:type="pct"/>
            <w:vMerge w:val="continue"/>
            <w:vAlign w:val="center"/>
          </w:tcPr>
          <w:p>
            <w:pPr>
              <w:widowControl/>
              <w:ind w:firstLine="480"/>
              <w:jc w:val="center"/>
              <w:rPr>
                <w:rFonts w:ascii="仿宋" w:hAnsi="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86" w:type="pct"/>
            <w:gridSpan w:val="2"/>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特色附加分</w:t>
            </w:r>
          </w:p>
        </w:tc>
        <w:tc>
          <w:tcPr>
            <w:tcW w:w="397" w:type="pct"/>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2</w:t>
            </w:r>
          </w:p>
        </w:tc>
        <w:tc>
          <w:tcPr>
            <w:tcW w:w="2383" w:type="pct"/>
            <w:gridSpan w:val="4"/>
            <w:tcMar>
              <w:left w:w="28" w:type="dxa"/>
              <w:right w:w="28" w:type="dxa"/>
            </w:tcMar>
            <w:vAlign w:val="center"/>
          </w:tcPr>
          <w:p>
            <w:pPr>
              <w:topLinePunct/>
              <w:spacing w:line="360" w:lineRule="exact"/>
              <w:ind w:firstLine="0" w:firstLineChars="0"/>
              <w:jc w:val="center"/>
              <w:rPr>
                <w:rFonts w:hint="default" w:ascii="Times New Roman" w:hAnsi="Times New Roman" w:cs="Times New Roman"/>
                <w:sz w:val="24"/>
              </w:rPr>
            </w:pPr>
            <w:r>
              <w:rPr>
                <w:rFonts w:hint="default" w:ascii="Times New Roman" w:hAnsi="Times New Roman" w:cs="Times New Roman"/>
                <w:sz w:val="24"/>
              </w:rPr>
              <w:t>1.6</w:t>
            </w:r>
          </w:p>
        </w:tc>
        <w:tc>
          <w:tcPr>
            <w:tcW w:w="733" w:type="pct"/>
            <w:vMerge w:val="continue"/>
            <w:vAlign w:val="center"/>
          </w:tcPr>
          <w:p>
            <w:pPr>
              <w:widowControl/>
              <w:ind w:firstLine="480"/>
              <w:jc w:val="center"/>
              <w:rPr>
                <w:rFonts w:ascii="仿宋" w:hAnsi="仿宋" w:cs="仿宋"/>
                <w:sz w:val="24"/>
              </w:rPr>
            </w:pPr>
          </w:p>
        </w:tc>
      </w:tr>
    </w:tbl>
    <w:p>
      <w:pPr>
        <w:widowControl/>
        <w:adjustRightInd/>
        <w:snapToGrid/>
        <w:spacing w:line="360" w:lineRule="auto"/>
        <w:ind w:firstLine="560" w:firstLineChars="0"/>
        <w:jc w:val="both"/>
        <w:rPr>
          <w:rFonts w:hint="eastAsia" w:eastAsia="宋体" w:cs="Times New Roman"/>
          <w:color w:val="auto"/>
          <w:sz w:val="28"/>
          <w:szCs w:val="28"/>
          <w:highlight w:val="none"/>
        </w:rPr>
      </w:pPr>
      <w:r>
        <w:rPr>
          <w:rFonts w:hint="eastAsia" w:eastAsia="宋体" w:cs="Times New Roman"/>
          <w:color w:val="auto"/>
          <w:sz w:val="28"/>
          <w:szCs w:val="28"/>
          <w:highlight w:val="none"/>
        </w:rPr>
        <w:t>根据表2-1</w:t>
      </w:r>
      <w:r>
        <w:rPr>
          <w:rFonts w:hint="eastAsia" w:eastAsia="宋体" w:cs="Times New Roman"/>
          <w:color w:val="auto"/>
          <w:sz w:val="28"/>
          <w:szCs w:val="28"/>
          <w:highlight w:val="none"/>
          <w:lang w:eastAsia="zh-CN"/>
        </w:rPr>
        <w:t>评价的分值累加计</w:t>
      </w:r>
      <w:r>
        <w:rPr>
          <w:rFonts w:hint="eastAsia" w:eastAsia="宋体" w:cs="Times New Roman"/>
          <w:color w:val="auto"/>
          <w:sz w:val="28"/>
          <w:szCs w:val="28"/>
          <w:highlight w:val="none"/>
        </w:rPr>
        <w:t>算，森林公园风景资源质量评价分值（M）为18.7分（满分值为30分）。</w:t>
      </w:r>
    </w:p>
    <w:p>
      <w:pPr>
        <w:widowControl/>
        <w:adjustRightInd/>
        <w:snapToGrid/>
        <w:spacing w:line="240" w:lineRule="auto"/>
        <w:ind w:firstLine="0" w:firstLineChars="0"/>
        <w:jc w:val="left"/>
        <w:rPr>
          <w:rFonts w:eastAsia="黑体"/>
          <w:kern w:val="44"/>
          <w:sz w:val="44"/>
        </w:rPr>
      </w:pPr>
      <w:r>
        <w:br w:type="page"/>
      </w:r>
    </w:p>
    <w:p>
      <w:pPr>
        <w:pStyle w:val="3"/>
        <w:rPr>
          <w:rFonts w:hint="eastAsia"/>
        </w:rPr>
      </w:pPr>
      <w:bookmarkStart w:id="44" w:name="_Toc24129"/>
      <w:r>
        <w:rPr>
          <w:rFonts w:hint="eastAsia"/>
        </w:rPr>
        <w:t>第二节 区域环境质量评价</w:t>
      </w:r>
      <w:bookmarkEnd w:id="44"/>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森林公园区域环境质量评价指标包括：大气质量、地表水质量、土壤质量、负氧离子含量、空气细菌含量。</w:t>
      </w:r>
      <w:bookmarkStart w:id="45" w:name="_Toc12960085"/>
      <w:bookmarkStart w:id="46" w:name="_Toc25915659"/>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一、区域生态环境质量</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r>
        <w:rPr>
          <w:rFonts w:hint="eastAsia" w:eastAsia="楷体" w:cs="Times New Roman"/>
          <w:b/>
          <w:bCs/>
          <w:color w:val="auto"/>
          <w:sz w:val="28"/>
          <w:szCs w:val="28"/>
        </w:rPr>
        <w:t>（一）大气质量</w:t>
      </w:r>
      <w:bookmarkEnd w:id="45"/>
      <w:bookmarkEnd w:id="46"/>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公园暖温带半湿润东亚季风区大陆性气候，昼夜温差大，四季分明。由于林带浓密，形成了森林气候，空气湿润、清新。根据相关环境质量监测站数据分析，采用《环境空气质量标准》（GB3095-2012）规定的检测指标，濮阳市、台前县是华北地区空气质量良好的地方，公园内大气质量达到国家大气环境质量</w:t>
      </w:r>
      <w:r>
        <w:rPr>
          <w:rFonts w:hint="eastAsia" w:eastAsia="宋体" w:cs="Times New Roman"/>
          <w:color w:val="auto"/>
          <w:sz w:val="28"/>
          <w:szCs w:val="28"/>
          <w:lang w:val="en-US" w:eastAsia="zh-CN"/>
        </w:rPr>
        <w:t>二</w:t>
      </w:r>
      <w:r>
        <w:rPr>
          <w:rFonts w:hint="eastAsia" w:eastAsia="宋体" w:cs="Times New Roman"/>
          <w:color w:val="auto"/>
          <w:sz w:val="28"/>
          <w:szCs w:val="28"/>
        </w:rPr>
        <w:t>级标准。</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47" w:name="_Toc12960086"/>
      <w:bookmarkStart w:id="48" w:name="_Toc25915660"/>
      <w:r>
        <w:rPr>
          <w:rFonts w:hint="eastAsia" w:eastAsia="楷体" w:cs="Times New Roman"/>
          <w:b/>
          <w:bCs/>
          <w:color w:val="auto"/>
          <w:sz w:val="28"/>
          <w:szCs w:val="28"/>
        </w:rPr>
        <w:t>（二）地表水质量</w:t>
      </w:r>
      <w:bookmarkEnd w:id="47"/>
      <w:bookmarkEnd w:id="48"/>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公园内水系有</w:t>
      </w:r>
      <w:r>
        <w:rPr>
          <w:rFonts w:hint="eastAsia" w:eastAsia="宋体" w:cs="Times New Roman"/>
          <w:color w:val="auto"/>
          <w:sz w:val="28"/>
          <w:szCs w:val="28"/>
          <w:lang w:val="en-US" w:eastAsia="zh-CN"/>
        </w:rPr>
        <w:t>梁庙沟</w:t>
      </w:r>
      <w:r>
        <w:rPr>
          <w:rFonts w:hint="eastAsia" w:eastAsia="宋体" w:cs="Times New Roman"/>
          <w:color w:val="auto"/>
          <w:sz w:val="28"/>
          <w:szCs w:val="28"/>
        </w:rPr>
        <w:t>，水资源丰富，常年性地表水和浅层地下水，四季清水长流，水质良好。根据相关环境质量监测站数据分析，采用地表水环境质量（GB3838-2002）规定的检测指标，公园森林覆盖率高，没有大型工业企业，达到国家地面水环境质量</w:t>
      </w:r>
      <w:r>
        <w:rPr>
          <w:rFonts w:hint="eastAsia" w:eastAsia="宋体" w:cs="Times New Roman"/>
          <w:color w:val="auto"/>
          <w:sz w:val="28"/>
          <w:szCs w:val="28"/>
          <w:lang w:val="en-US" w:eastAsia="zh-CN"/>
        </w:rPr>
        <w:t>II类</w:t>
      </w:r>
      <w:r>
        <w:rPr>
          <w:rFonts w:hint="eastAsia" w:eastAsia="宋体" w:cs="Times New Roman"/>
          <w:color w:val="auto"/>
          <w:sz w:val="28"/>
          <w:szCs w:val="28"/>
        </w:rPr>
        <w:t>标准。</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49" w:name="_Toc12960087"/>
      <w:bookmarkStart w:id="50" w:name="_Toc25915661"/>
      <w:r>
        <w:rPr>
          <w:rFonts w:hint="eastAsia" w:eastAsia="楷体" w:cs="Times New Roman"/>
          <w:b/>
          <w:bCs/>
          <w:color w:val="auto"/>
          <w:sz w:val="28"/>
          <w:szCs w:val="28"/>
        </w:rPr>
        <w:t>（三）土壤质量</w:t>
      </w:r>
      <w:bookmarkEnd w:id="49"/>
      <w:bookmarkEnd w:id="50"/>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rPr>
        <w:t>土壤属潮土类，成土母质为河流冲积物，质地较好，适宜多种农作物生长，但肥力较低，养分比例不够合理。土壤质量现状达到国家土壤环境（GB15618-1995）</w:t>
      </w:r>
      <w:r>
        <w:rPr>
          <w:rFonts w:hint="eastAsia" w:eastAsia="宋体" w:cs="Times New Roman"/>
          <w:color w:val="auto"/>
          <w:sz w:val="28"/>
          <w:szCs w:val="28"/>
          <w:lang w:eastAsia="zh-CN"/>
        </w:rPr>
        <w:t>II类</w:t>
      </w:r>
      <w:r>
        <w:rPr>
          <w:rFonts w:hint="eastAsia" w:eastAsia="宋体" w:cs="Times New Roman"/>
          <w:color w:val="auto"/>
          <w:sz w:val="28"/>
          <w:szCs w:val="28"/>
        </w:rPr>
        <w:t>标准。</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rPr>
      </w:pPr>
      <w:bookmarkStart w:id="51" w:name="_Toc25915662"/>
      <w:bookmarkStart w:id="52" w:name="_Toc12960088"/>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highlight w:val="yellow"/>
        </w:rPr>
      </w:pPr>
      <w:r>
        <w:rPr>
          <w:rFonts w:hint="eastAsia" w:eastAsia="楷体" w:cs="Times New Roman"/>
          <w:b/>
          <w:bCs/>
          <w:color w:val="auto"/>
          <w:sz w:val="28"/>
          <w:szCs w:val="28"/>
        </w:rPr>
        <w:t>（四）</w:t>
      </w:r>
      <w:r>
        <w:rPr>
          <w:rFonts w:hint="eastAsia" w:eastAsia="楷体" w:cs="Times New Roman"/>
          <w:b/>
          <w:bCs/>
          <w:color w:val="auto"/>
          <w:sz w:val="28"/>
          <w:szCs w:val="28"/>
          <w:highlight w:val="none"/>
        </w:rPr>
        <w:t>负</w:t>
      </w:r>
      <w:r>
        <w:rPr>
          <w:rFonts w:hint="eastAsia" w:eastAsia="楷体" w:cs="Times New Roman"/>
          <w:b/>
          <w:bCs/>
          <w:color w:val="auto"/>
          <w:sz w:val="28"/>
          <w:szCs w:val="28"/>
          <w:highlight w:val="none"/>
          <w:lang w:val="en-US" w:eastAsia="zh-CN"/>
        </w:rPr>
        <w:t>氧</w:t>
      </w:r>
      <w:r>
        <w:rPr>
          <w:rFonts w:hint="eastAsia" w:eastAsia="楷体" w:cs="Times New Roman"/>
          <w:b/>
          <w:bCs/>
          <w:color w:val="auto"/>
          <w:sz w:val="28"/>
          <w:szCs w:val="28"/>
          <w:highlight w:val="none"/>
        </w:rPr>
        <w:t>离子含量</w:t>
      </w:r>
      <w:bookmarkEnd w:id="51"/>
      <w:bookmarkEnd w:id="52"/>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空气负</w:t>
      </w:r>
      <w:r>
        <w:rPr>
          <w:rFonts w:hint="eastAsia" w:eastAsia="宋体" w:cs="Times New Roman"/>
          <w:color w:val="auto"/>
          <w:sz w:val="28"/>
          <w:szCs w:val="28"/>
          <w:lang w:val="en-US" w:eastAsia="zh-CN"/>
        </w:rPr>
        <w:t>氧</w:t>
      </w:r>
      <w:r>
        <w:rPr>
          <w:rFonts w:hint="eastAsia" w:eastAsia="宋体" w:cs="Times New Roman"/>
          <w:color w:val="auto"/>
          <w:sz w:val="28"/>
          <w:szCs w:val="28"/>
        </w:rPr>
        <w:t>离子被誉为“空气维生素”，对人体健康十分有益。空气负</w:t>
      </w:r>
      <w:r>
        <w:rPr>
          <w:rFonts w:hint="eastAsia" w:eastAsia="宋体" w:cs="Times New Roman"/>
          <w:color w:val="auto"/>
          <w:sz w:val="28"/>
          <w:szCs w:val="28"/>
          <w:lang w:val="en-US" w:eastAsia="zh-CN"/>
        </w:rPr>
        <w:t>氧</w:t>
      </w:r>
      <w:r>
        <w:rPr>
          <w:rFonts w:hint="eastAsia" w:eastAsia="宋体" w:cs="Times New Roman"/>
          <w:color w:val="auto"/>
          <w:sz w:val="28"/>
          <w:szCs w:val="28"/>
        </w:rPr>
        <w:t>离子水平是评价环境空气清洁程度的重要指标。医学研究表明，当空气负</w:t>
      </w:r>
      <w:r>
        <w:rPr>
          <w:rFonts w:hint="eastAsia" w:eastAsia="宋体" w:cs="Times New Roman"/>
          <w:color w:val="auto"/>
          <w:sz w:val="28"/>
          <w:szCs w:val="28"/>
          <w:lang w:val="en-US" w:eastAsia="zh-CN"/>
        </w:rPr>
        <w:t>氧</w:t>
      </w:r>
      <w:r>
        <w:rPr>
          <w:rFonts w:hint="eastAsia" w:eastAsia="宋体" w:cs="Times New Roman"/>
          <w:color w:val="auto"/>
          <w:sz w:val="28"/>
          <w:szCs w:val="28"/>
        </w:rPr>
        <w:t>离子含量达1000~5000个/cm</w:t>
      </w:r>
      <w:r>
        <w:rPr>
          <w:rFonts w:hint="eastAsia" w:eastAsia="宋体" w:cs="Times New Roman"/>
          <w:color w:val="auto"/>
          <w:sz w:val="28"/>
          <w:szCs w:val="28"/>
          <w:vertAlign w:val="superscript"/>
        </w:rPr>
        <w:t>3</w:t>
      </w:r>
      <w:r>
        <w:rPr>
          <w:rFonts w:hint="eastAsia" w:eastAsia="宋体" w:cs="Times New Roman"/>
          <w:color w:val="auto"/>
          <w:sz w:val="28"/>
          <w:szCs w:val="28"/>
        </w:rPr>
        <w:t>时，能增强人体免疫力、抗菌力；当达到5000~10000个/ cm</w:t>
      </w:r>
      <w:r>
        <w:rPr>
          <w:rFonts w:hint="eastAsia" w:eastAsia="宋体" w:cs="Times New Roman"/>
          <w:color w:val="auto"/>
          <w:sz w:val="28"/>
          <w:szCs w:val="28"/>
          <w:vertAlign w:val="superscript"/>
        </w:rPr>
        <w:t>3</w:t>
      </w:r>
      <w:r>
        <w:rPr>
          <w:rFonts w:hint="eastAsia" w:eastAsia="宋体" w:cs="Times New Roman"/>
          <w:color w:val="auto"/>
          <w:sz w:val="28"/>
          <w:szCs w:val="28"/>
        </w:rPr>
        <w:t>时，具有杀菌、减少疾病传染的作用；当达到10000~20000个/ cm</w:t>
      </w:r>
      <w:r>
        <w:rPr>
          <w:rFonts w:hint="eastAsia" w:eastAsia="宋体" w:cs="Times New Roman"/>
          <w:color w:val="auto"/>
          <w:sz w:val="28"/>
          <w:szCs w:val="28"/>
          <w:vertAlign w:val="superscript"/>
        </w:rPr>
        <w:t>3</w:t>
      </w:r>
      <w:r>
        <w:rPr>
          <w:rFonts w:hint="eastAsia" w:eastAsia="宋体" w:cs="Times New Roman"/>
          <w:color w:val="auto"/>
          <w:sz w:val="28"/>
          <w:szCs w:val="28"/>
        </w:rPr>
        <w:t>时，对人体具有自然痊愈力。根据相关环境质量监测站数据分析，公园内空气负</w:t>
      </w:r>
      <w:r>
        <w:rPr>
          <w:rFonts w:hint="eastAsia" w:eastAsia="宋体" w:cs="Times New Roman"/>
          <w:color w:val="auto"/>
          <w:sz w:val="28"/>
          <w:szCs w:val="28"/>
          <w:lang w:val="en-US" w:eastAsia="zh-CN"/>
        </w:rPr>
        <w:t>氧</w:t>
      </w:r>
      <w:r>
        <w:rPr>
          <w:rFonts w:hint="eastAsia" w:eastAsia="宋体" w:cs="Times New Roman"/>
          <w:color w:val="auto"/>
          <w:sz w:val="28"/>
          <w:szCs w:val="28"/>
        </w:rPr>
        <w:t>离子平均浓度达6000个/ cm</w:t>
      </w:r>
      <w:r>
        <w:rPr>
          <w:rFonts w:hint="eastAsia" w:eastAsia="宋体" w:cs="Times New Roman"/>
          <w:color w:val="auto"/>
          <w:sz w:val="28"/>
          <w:szCs w:val="28"/>
          <w:vertAlign w:val="superscript"/>
        </w:rPr>
        <w:t>3</w:t>
      </w:r>
      <w:r>
        <w:rPr>
          <w:rFonts w:hint="eastAsia" w:eastAsia="宋体" w:cs="Times New Roman"/>
          <w:color w:val="auto"/>
          <w:sz w:val="28"/>
          <w:szCs w:val="28"/>
        </w:rPr>
        <w:t>。</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highlight w:val="yellow"/>
        </w:rPr>
      </w:pPr>
      <w:bookmarkStart w:id="53" w:name="_Toc12960089"/>
      <w:bookmarkStart w:id="54" w:name="_Toc25915663"/>
      <w:r>
        <w:rPr>
          <w:rFonts w:hint="eastAsia" w:eastAsia="楷体" w:cs="Times New Roman"/>
          <w:b/>
          <w:bCs/>
          <w:color w:val="auto"/>
          <w:sz w:val="28"/>
          <w:szCs w:val="28"/>
        </w:rPr>
        <w:t>（五）</w:t>
      </w:r>
      <w:r>
        <w:rPr>
          <w:rFonts w:hint="eastAsia" w:eastAsia="楷体" w:cs="Times New Roman"/>
          <w:b/>
          <w:bCs/>
          <w:color w:val="auto"/>
          <w:sz w:val="28"/>
          <w:szCs w:val="28"/>
          <w:highlight w:val="none"/>
        </w:rPr>
        <w:t>空气细菌含量</w:t>
      </w:r>
      <w:bookmarkEnd w:id="53"/>
      <w:bookmarkEnd w:id="54"/>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根据相关环境质量监测站数据分析，公园细菌含量平均值为空气细菌含量为5500个/ m</w:t>
      </w:r>
      <w:r>
        <w:rPr>
          <w:rFonts w:hint="eastAsia" w:eastAsia="宋体" w:cs="Times New Roman"/>
          <w:color w:val="auto"/>
          <w:sz w:val="28"/>
          <w:szCs w:val="28"/>
          <w:vertAlign w:val="superscript"/>
        </w:rPr>
        <w:t>3</w:t>
      </w:r>
      <w:r>
        <w:rPr>
          <w:rFonts w:hint="eastAsia" w:eastAsia="宋体" w:cs="Times New Roman"/>
          <w:color w:val="auto"/>
          <w:sz w:val="28"/>
          <w:szCs w:val="28"/>
        </w:rPr>
        <w:t>。</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二、区域生态环境质量评价</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根据《河南省环境状况公报》以及台前县境内相关生态环境工程项目，经</w:t>
      </w:r>
      <w:r>
        <w:rPr>
          <w:rFonts w:hint="eastAsia" w:eastAsia="宋体" w:cs="Times New Roman"/>
          <w:color w:val="auto"/>
          <w:sz w:val="28"/>
          <w:szCs w:val="28"/>
          <w:lang w:val="en-US" w:eastAsia="zh-CN"/>
        </w:rPr>
        <w:t>详</w:t>
      </w:r>
      <w:r>
        <w:rPr>
          <w:rFonts w:hint="eastAsia" w:eastAsia="宋体" w:cs="Times New Roman"/>
          <w:color w:val="auto"/>
          <w:sz w:val="28"/>
          <w:szCs w:val="28"/>
        </w:rPr>
        <w:t>实的调查和有关资料的查阅，公园生态环境优良，空气清新，洁净度好，负</w:t>
      </w:r>
      <w:r>
        <w:rPr>
          <w:rFonts w:hint="eastAsia" w:eastAsia="宋体" w:cs="Times New Roman"/>
          <w:color w:val="auto"/>
          <w:sz w:val="28"/>
          <w:szCs w:val="28"/>
          <w:lang w:val="en-US" w:eastAsia="zh-CN"/>
        </w:rPr>
        <w:t>氧氧</w:t>
      </w:r>
      <w:r>
        <w:rPr>
          <w:rFonts w:hint="eastAsia" w:eastAsia="宋体" w:cs="Times New Roman"/>
          <w:color w:val="auto"/>
          <w:sz w:val="28"/>
          <w:szCs w:val="28"/>
        </w:rPr>
        <w:t>离子含量普遍较高。详见表2-2。</w:t>
      </w: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480" w:firstLineChars="0"/>
        <w:jc w:val="center"/>
        <w:rPr>
          <w:rFonts w:ascii="黑体" w:hAnsi="黑体" w:eastAsia="黑体" w:cs="Times New Roman"/>
          <w:color w:val="auto"/>
          <w:sz w:val="24"/>
        </w:rPr>
      </w:pPr>
      <w:r>
        <w:rPr>
          <w:rFonts w:hint="eastAsia" w:ascii="黑体" w:hAnsi="黑体" w:eastAsia="黑体" w:cs="Times New Roman"/>
          <w:color w:val="auto"/>
          <w:sz w:val="24"/>
        </w:rPr>
        <w:t>表</w:t>
      </w:r>
      <w:r>
        <w:rPr>
          <w:rFonts w:ascii="黑体" w:hAnsi="黑体" w:eastAsia="黑体" w:cs="Times New Roman"/>
          <w:color w:val="auto"/>
          <w:sz w:val="24"/>
        </w:rPr>
        <w:t>2</w:t>
      </w:r>
      <w:r>
        <w:rPr>
          <w:rFonts w:hint="eastAsia" w:ascii="黑体" w:hAnsi="黑体" w:eastAsia="黑体" w:cs="Times New Roman"/>
          <w:color w:val="auto"/>
          <w:sz w:val="24"/>
        </w:rPr>
        <w:t>-</w:t>
      </w:r>
      <w:r>
        <w:rPr>
          <w:rFonts w:ascii="黑体" w:hAnsi="黑体" w:eastAsia="黑体" w:cs="Times New Roman"/>
          <w:color w:val="auto"/>
          <w:sz w:val="24"/>
        </w:rPr>
        <w:t xml:space="preserve">2 </w:t>
      </w:r>
      <w:r>
        <w:rPr>
          <w:rFonts w:hint="eastAsia" w:ascii="黑体" w:hAnsi="黑体" w:eastAsia="黑体" w:cs="Times New Roman"/>
          <w:color w:val="auto"/>
          <w:sz w:val="24"/>
        </w:rPr>
        <w:t>区域环境质量评价表</w:t>
      </w:r>
    </w:p>
    <w:tbl>
      <w:tblPr>
        <w:tblStyle w:val="1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13"/>
        <w:gridCol w:w="5826"/>
        <w:gridCol w:w="873"/>
        <w:gridCol w:w="8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评价</w:t>
            </w:r>
          </w:p>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项目</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评价指标</w:t>
            </w:r>
          </w:p>
        </w:tc>
        <w:tc>
          <w:tcPr>
            <w:tcW w:w="512"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b/>
                <w:color w:val="auto"/>
                <w:sz w:val="21"/>
                <w:szCs w:val="21"/>
              </w:rPr>
            </w:pPr>
            <w:r>
              <w:rPr>
                <w:rFonts w:eastAsia="宋体" w:cs="Times New Roman"/>
                <w:b/>
                <w:color w:val="auto"/>
                <w:sz w:val="21"/>
                <w:szCs w:val="21"/>
              </w:rPr>
              <w:t>基本分值</w:t>
            </w:r>
          </w:p>
        </w:tc>
        <w:tc>
          <w:tcPr>
            <w:tcW w:w="475"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b/>
                <w:color w:val="auto"/>
                <w:sz w:val="21"/>
                <w:szCs w:val="21"/>
              </w:rPr>
            </w:pPr>
            <w:r>
              <w:rPr>
                <w:rFonts w:hint="eastAsia" w:eastAsia="宋体" w:cs="Times New Roman"/>
                <w:b/>
                <w:color w:val="auto"/>
                <w:sz w:val="21"/>
                <w:szCs w:val="21"/>
              </w:rPr>
              <w:t>打分值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大气质量</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达到国家大气环境质量（GB3095-2012）</w:t>
            </w:r>
            <w:r>
              <w:rPr>
                <w:rFonts w:hint="eastAsia" w:eastAsia="宋体" w:cs="Times New Roman"/>
                <w:color w:val="auto"/>
                <w:sz w:val="21"/>
                <w:szCs w:val="21"/>
                <w:lang w:val="en-US" w:eastAsia="zh-CN"/>
              </w:rPr>
              <w:t>一</w:t>
            </w:r>
            <w:r>
              <w:rPr>
                <w:rFonts w:hint="eastAsia" w:eastAsia="宋体" w:cs="Times New Roman"/>
                <w:color w:val="auto"/>
                <w:sz w:val="21"/>
                <w:szCs w:val="21"/>
              </w:rPr>
              <w:t>级标准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达到国家大气环境质量（GB3095-2012）</w:t>
            </w:r>
            <w:r>
              <w:rPr>
                <w:rFonts w:hint="eastAsia" w:eastAsia="宋体" w:cs="Times New Roman"/>
                <w:color w:val="auto"/>
                <w:sz w:val="21"/>
                <w:szCs w:val="21"/>
                <w:lang w:val="en-US" w:eastAsia="zh-CN"/>
              </w:rPr>
              <w:t>二</w:t>
            </w:r>
            <w:r>
              <w:rPr>
                <w:rFonts w:hint="eastAsia" w:eastAsia="宋体" w:cs="Times New Roman"/>
                <w:color w:val="auto"/>
                <w:sz w:val="21"/>
                <w:szCs w:val="21"/>
              </w:rPr>
              <w:t>级标准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地面水质量</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达到国家地面水环境质量（GB3838-1988）</w:t>
            </w:r>
            <w:r>
              <w:rPr>
                <w:rFonts w:hint="eastAsia" w:eastAsia="宋体" w:cs="Times New Roman"/>
                <w:color w:val="auto"/>
                <w:sz w:val="21"/>
                <w:szCs w:val="21"/>
                <w:lang w:val="en-US" w:eastAsia="zh-CN"/>
              </w:rPr>
              <w:t>I类</w:t>
            </w:r>
            <w:r>
              <w:rPr>
                <w:rFonts w:hint="eastAsia" w:eastAsia="宋体" w:cs="Times New Roman"/>
                <w:color w:val="auto"/>
                <w:sz w:val="21"/>
                <w:szCs w:val="21"/>
              </w:rPr>
              <w:t>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达到国家地面水环境质量（GB3838-1988）</w:t>
            </w:r>
            <w:r>
              <w:rPr>
                <w:rFonts w:hint="eastAsia" w:eastAsia="宋体" w:cs="Times New Roman"/>
                <w:color w:val="auto"/>
                <w:sz w:val="21"/>
                <w:szCs w:val="21"/>
                <w:lang w:val="en-US" w:eastAsia="zh-CN"/>
              </w:rPr>
              <w:t>II类</w:t>
            </w:r>
            <w:r>
              <w:rPr>
                <w:rFonts w:hint="eastAsia" w:eastAsia="宋体" w:cs="Times New Roman"/>
                <w:color w:val="auto"/>
                <w:sz w:val="21"/>
                <w:szCs w:val="21"/>
              </w:rPr>
              <w:t>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土壤质量</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达到国家土壤环境质量（GB15618-1995）</w:t>
            </w:r>
            <w:r>
              <w:rPr>
                <w:rFonts w:hint="eastAsia" w:eastAsia="宋体" w:cs="Times New Roman"/>
                <w:color w:val="auto"/>
                <w:sz w:val="21"/>
                <w:szCs w:val="21"/>
                <w:lang w:val="en-US" w:eastAsia="zh-CN"/>
              </w:rPr>
              <w:t>I类</w:t>
            </w:r>
            <w:r>
              <w:rPr>
                <w:rFonts w:hint="eastAsia" w:eastAsia="宋体" w:cs="Times New Roman"/>
                <w:color w:val="auto"/>
                <w:sz w:val="21"/>
                <w:szCs w:val="21"/>
              </w:rPr>
              <w:t>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达到国家土壤环境质量（GB15618-1995）</w:t>
            </w:r>
            <w:r>
              <w:rPr>
                <w:rFonts w:hint="eastAsia" w:eastAsia="宋体" w:cs="Times New Roman"/>
                <w:color w:val="auto"/>
                <w:sz w:val="21"/>
                <w:szCs w:val="21"/>
                <w:lang w:val="en-US" w:eastAsia="zh-CN"/>
              </w:rPr>
              <w:t>II类</w:t>
            </w:r>
            <w:r>
              <w:rPr>
                <w:rFonts w:hint="eastAsia" w:eastAsia="宋体" w:cs="Times New Roman"/>
                <w:color w:val="auto"/>
                <w:sz w:val="21"/>
                <w:szCs w:val="21"/>
              </w:rPr>
              <w:t>标准</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负离子含量</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旅游旺季主要景点其含量为5万个/cm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2.5</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旅游旺季主要景点其含量为1万至5万个/cm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旅游旺季主要景点其含量为3千至1万个/ cm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旅游旺季主要景点其含量为1千至3千个/cm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hint="default" w:ascii="Times New Roman" w:hAnsi="Times New Roman" w:cs="Times New Roman"/>
                <w:b/>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空气细菌含量</w:t>
            </w: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空气细菌含量为1千个/m</w:t>
            </w:r>
            <w:r>
              <w:rPr>
                <w:rFonts w:hint="eastAsia" w:eastAsia="宋体" w:cs="Times New Roman"/>
                <w:color w:val="auto"/>
                <w:sz w:val="21"/>
                <w:szCs w:val="21"/>
                <w:vertAlign w:val="superscript"/>
              </w:rPr>
              <w:t>3</w:t>
            </w:r>
            <w:r>
              <w:rPr>
                <w:rFonts w:hint="eastAsia" w:eastAsia="宋体" w:cs="Times New Roman"/>
                <w:color w:val="auto"/>
                <w:sz w:val="21"/>
                <w:szCs w:val="21"/>
              </w:rPr>
              <w:t>以下</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空气细菌含量为1千至1万个/ 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center"/>
              <w:rPr>
                <w:rFonts w:ascii="仿宋" w:hAnsi="仿宋" w:cs="仿宋"/>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p>
        </w:tc>
        <w:tc>
          <w:tcPr>
            <w:tcW w:w="3418"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eastAsia="宋体" w:cs="Times New Roman"/>
                <w:color w:val="auto"/>
                <w:sz w:val="21"/>
                <w:szCs w:val="21"/>
              </w:rPr>
            </w:pPr>
            <w:r>
              <w:rPr>
                <w:rFonts w:hint="eastAsia" w:eastAsia="宋体" w:cs="Times New Roman"/>
                <w:color w:val="auto"/>
                <w:sz w:val="21"/>
                <w:szCs w:val="21"/>
              </w:rPr>
              <w:t>空气细菌含量为1万至5万个/ m</w:t>
            </w:r>
            <w:r>
              <w:rPr>
                <w:rFonts w:hint="eastAsia" w:eastAsia="宋体" w:cs="Times New Roman"/>
                <w:color w:val="auto"/>
                <w:sz w:val="21"/>
                <w:szCs w:val="21"/>
                <w:vertAlign w:val="superscript"/>
              </w:rPr>
              <w:t>3</w:t>
            </w:r>
          </w:p>
        </w:tc>
        <w:tc>
          <w:tcPr>
            <w:tcW w:w="512" w:type="pc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center"/>
              <w:rPr>
                <w:rFonts w:ascii="仿宋" w:hAnsi="仿宋" w:cs="仿宋"/>
                <w:sz w:val="21"/>
                <w:szCs w:val="21"/>
              </w:rPr>
            </w:pPr>
          </w:p>
        </w:tc>
      </w:tr>
    </w:tbl>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根据表2-2</w:t>
      </w:r>
      <w:r>
        <w:rPr>
          <w:rFonts w:hint="eastAsia" w:eastAsia="宋体" w:cs="Times New Roman"/>
          <w:color w:val="auto"/>
          <w:sz w:val="28"/>
          <w:szCs w:val="28"/>
          <w:lang w:eastAsia="zh-CN"/>
        </w:rPr>
        <w:t>评价的分值累加计</w:t>
      </w:r>
      <w:r>
        <w:rPr>
          <w:rFonts w:hint="eastAsia" w:eastAsia="宋体" w:cs="Times New Roman"/>
          <w:color w:val="auto"/>
          <w:sz w:val="28"/>
          <w:szCs w:val="28"/>
        </w:rPr>
        <w:t>算，森林公园环境质量评价分值（H）得分为5.5分（满分值为10分）。</w:t>
      </w:r>
    </w:p>
    <w:p>
      <w:pPr>
        <w:pStyle w:val="3"/>
        <w:rPr>
          <w:rFonts w:hint="eastAsia"/>
        </w:rPr>
      </w:pPr>
      <w:bookmarkStart w:id="55" w:name="_Toc27880"/>
      <w:r>
        <w:rPr>
          <w:rFonts w:hint="eastAsia"/>
        </w:rPr>
        <w:t>第三节 旅游开发利用条件评价</w:t>
      </w:r>
      <w:bookmarkEnd w:id="55"/>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旅游开发利用条件评价指标包括：公园面积、旅游适游期、区位条件、外部交通、内部交通、基础设施条件。</w:t>
      </w: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480" w:firstLineChars="0"/>
        <w:jc w:val="center"/>
        <w:rPr>
          <w:rFonts w:hint="eastAsia" w:ascii="黑体" w:hAnsi="黑体" w:eastAsia="黑体" w:cs="Times New Roman"/>
          <w:color w:val="auto"/>
          <w:sz w:val="24"/>
        </w:rPr>
      </w:pPr>
      <w:r>
        <w:rPr>
          <w:rFonts w:hint="eastAsia" w:ascii="黑体" w:hAnsi="黑体" w:eastAsia="黑体" w:cs="Times New Roman"/>
          <w:color w:val="auto"/>
          <w:sz w:val="24"/>
        </w:rPr>
        <w:t>表2-3  开发利用条件评价表</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8"/>
        <w:gridCol w:w="543"/>
        <w:gridCol w:w="5956"/>
        <w:gridCol w:w="691"/>
        <w:gridCol w:w="6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0" w:type="auto"/>
            <w:gridSpan w:val="2"/>
            <w:vMerge w:val="restart"/>
            <w:tcBorders>
              <w:top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eastAsia" w:eastAsia="宋体" w:cs="Times New Roman"/>
                <w:b/>
                <w:color w:val="auto"/>
                <w:sz w:val="21"/>
                <w:szCs w:val="21"/>
              </w:rPr>
            </w:pPr>
            <w:r>
              <w:rPr>
                <w:rFonts w:hint="eastAsia" w:eastAsia="宋体" w:cs="Times New Roman"/>
                <w:b/>
                <w:color w:val="auto"/>
                <w:sz w:val="21"/>
                <w:szCs w:val="21"/>
              </w:rPr>
              <w:t>评价项目</w:t>
            </w:r>
          </w:p>
        </w:tc>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eastAsia" w:eastAsia="宋体" w:cs="Times New Roman"/>
                <w:b/>
                <w:color w:val="auto"/>
                <w:sz w:val="21"/>
                <w:szCs w:val="21"/>
              </w:rPr>
            </w:pPr>
            <w:r>
              <w:rPr>
                <w:rFonts w:hint="eastAsia" w:eastAsia="宋体" w:cs="Times New Roman"/>
                <w:b/>
                <w:color w:val="auto"/>
                <w:sz w:val="21"/>
                <w:szCs w:val="21"/>
              </w:rPr>
              <w:t>标准</w:t>
            </w:r>
          </w:p>
        </w:tc>
        <w:tc>
          <w:tcPr>
            <w:tcW w:w="0" w:type="auto"/>
            <w:vMerge w:val="restart"/>
            <w:tcBorders>
              <w:top w:val="single" w:color="auto" w:sz="4" w:space="0"/>
              <w:left w:val="single" w:color="auto" w:sz="4" w:space="0"/>
              <w:bottom w:val="nil"/>
            </w:tcBorders>
            <w:vAlign w:val="center"/>
          </w:tcPr>
          <w:p>
            <w:pPr>
              <w:topLinePunct/>
              <w:spacing w:line="360" w:lineRule="exact"/>
              <w:ind w:firstLine="0" w:firstLineChars="0"/>
              <w:jc w:val="center"/>
              <w:rPr>
                <w:rFonts w:ascii="仿宋" w:hAnsi="仿宋" w:cs="仿宋"/>
                <w:b/>
                <w:sz w:val="24"/>
              </w:rPr>
            </w:pPr>
            <w:r>
              <w:rPr>
                <w:rFonts w:hint="eastAsia" w:eastAsia="宋体" w:cs="Times New Roman"/>
                <w:b/>
                <w:color w:val="auto"/>
                <w:sz w:val="21"/>
                <w:szCs w:val="21"/>
              </w:rPr>
              <w:t>打分值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eastAsia" w:eastAsia="宋体" w:cs="Times New Roman"/>
                <w:b/>
                <w:color w:val="auto"/>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eastAsia" w:eastAsia="宋体" w:cs="Times New Roman"/>
                <w:b/>
                <w:color w:val="auto"/>
                <w:sz w:val="21"/>
                <w:szCs w:val="21"/>
              </w:rPr>
            </w:pPr>
            <w:r>
              <w:rPr>
                <w:rFonts w:hint="eastAsia" w:eastAsia="宋体" w:cs="Times New Roman"/>
                <w:b/>
                <w:color w:val="auto"/>
                <w:sz w:val="21"/>
                <w:szCs w:val="21"/>
              </w:rPr>
              <w:t>评价指标</w:t>
            </w:r>
          </w:p>
        </w:tc>
        <w:tc>
          <w:tcPr>
            <w:tcW w:w="0" w:type="auto"/>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hint="eastAsia" w:eastAsia="宋体" w:cs="Times New Roman"/>
                <w:b/>
                <w:color w:val="auto"/>
                <w:sz w:val="21"/>
                <w:szCs w:val="21"/>
              </w:rPr>
            </w:pPr>
            <w:r>
              <w:rPr>
                <w:rFonts w:hint="eastAsia" w:eastAsia="宋体" w:cs="Times New Roman"/>
                <w:b/>
                <w:color w:val="auto"/>
                <w:sz w:val="21"/>
                <w:szCs w:val="21"/>
              </w:rPr>
              <w:t>评价分值</w:t>
            </w:r>
          </w:p>
        </w:tc>
        <w:tc>
          <w:tcPr>
            <w:tcW w:w="0" w:type="auto"/>
            <w:vMerge w:val="continue"/>
            <w:tcBorders>
              <w:top w:val="nil"/>
              <w:left w:val="single" w:color="auto" w:sz="4" w:space="0"/>
              <w:bottom w:val="single" w:color="auto" w:sz="4" w:space="0"/>
            </w:tcBorders>
            <w:vAlign w:val="center"/>
          </w:tcPr>
          <w:p>
            <w:pPr>
              <w:topLinePunct/>
              <w:spacing w:line="360" w:lineRule="exact"/>
              <w:ind w:firstLine="482"/>
              <w:jc w:val="center"/>
              <w:rPr>
                <w:rFonts w:ascii="仿宋" w:hAnsi="仿宋" w:cs="仿宋"/>
                <w:b/>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公园面积</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森林公园规划面积大于500hm</w:t>
            </w:r>
            <w:r>
              <w:rPr>
                <w:rFonts w:hint="default" w:ascii="Times New Roman" w:hAnsi="Times New Roman" w:eastAsia="宋体" w:cs="Times New Roman"/>
                <w:b/>
                <w:bCs/>
                <w:sz w:val="24"/>
                <w:vertAlign w:val="superscript"/>
              </w:rPr>
              <w:t>2</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restart"/>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旅游</w:t>
            </w:r>
          </w:p>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适游期</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旅游适游天数大于或等于240天/年</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旅游适游天数在150天/年至240天/年之间</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旅游适游天数小于150天/年</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restart"/>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区位条件</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距省会城市（含省级市）小于100km，或以公园为中心、半径100 km内有100万人口规模的城市，或100 km内有著名的旅游区（点）</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距省会城市（含省级市）或著名旅游区（点）100－200 km</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距省会城市（含省级市）或著名旅游区（点）超过200 km</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restart"/>
            <w:tcBorders>
              <w:top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外部交通</w:t>
            </w: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铁路</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50 km内通铁路，在铁路干线上，中等或大站，客流量大</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continue"/>
            <w:tcBorders>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50 km内通铁路，不在铁路干线上，客流量小</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continue"/>
            <w:tcBorders>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公路</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国道或省道，有交通车随时可达，客流量大</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0" w:type="auto"/>
            <w:vMerge w:val="continue"/>
            <w:tcBorders>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省道或县级路，交通车较多，有一定客流量</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48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continue"/>
            <w:tcBorders>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水路</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水路较方便，客流量大，在当地交通中占有重要地位</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continue"/>
            <w:tcBorders>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水路较方便，有客运</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vMerge w:val="continue"/>
            <w:tcBorders>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航空</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100 km内有国内空港或150 km内有国际空港</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restart"/>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内部交通</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区域内有多种交通方式可供选择，具备游览的通达性</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区域内交通方式较为单一</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restart"/>
            <w:tcBorders>
              <w:top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基础设施条件</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自有水源或各区通自来水，有充足变压电供应，有较为完善的内外通讯条件，旅游接待服务设施较好</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0" w:type="auto"/>
            <w:vMerge w:val="restart"/>
            <w:tcBorders>
              <w:top w:val="single" w:color="auto" w:sz="4" w:space="0"/>
              <w:left w:val="single" w:color="auto" w:sz="4" w:space="0"/>
              <w:bottom w:val="single" w:color="auto" w:sz="4" w:space="0"/>
            </w:tcBorders>
            <w:vAlign w:val="center"/>
          </w:tcPr>
          <w:p>
            <w:pPr>
              <w:topLinePunct/>
              <w:spacing w:line="360" w:lineRule="exact"/>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0" w:type="auto"/>
            <w:gridSpan w:val="2"/>
            <w:vMerge w:val="continue"/>
            <w:tcBorders>
              <w:top w:val="single" w:color="auto" w:sz="4" w:space="0"/>
              <w:bottom w:val="single" w:color="auto" w:sz="4" w:space="0"/>
              <w:right w:val="single" w:color="auto" w:sz="4" w:space="0"/>
            </w:tcBorders>
            <w:vAlign w:val="center"/>
          </w:tcPr>
          <w:p>
            <w:pPr>
              <w:topLinePunct/>
              <w:spacing w:line="360" w:lineRule="exact"/>
              <w:ind w:firstLine="480"/>
              <w:jc w:val="center"/>
              <w:rPr>
                <w:rFonts w:hint="default" w:ascii="Times New Roman" w:hAnsi="Times New Roman" w:eastAsia="宋体" w:cs="Times New Roman"/>
                <w:sz w:val="24"/>
              </w:rPr>
            </w:pP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sz w:val="24"/>
              </w:rPr>
              <w:t>通水、电，有通讯和接待能力，但各类基础设施条件一般</w:t>
            </w:r>
          </w:p>
        </w:tc>
        <w:tc>
          <w:tcPr>
            <w:tcW w:w="0" w:type="auto"/>
            <w:tcBorders>
              <w:top w:val="single" w:color="auto" w:sz="4" w:space="0"/>
              <w:left w:val="single" w:color="auto" w:sz="4" w:space="0"/>
              <w:bottom w:val="single" w:color="auto" w:sz="4" w:space="0"/>
              <w:right w:val="single" w:color="auto" w:sz="4" w:space="0"/>
            </w:tcBorders>
            <w:vAlign w:val="center"/>
          </w:tcPr>
          <w:p>
            <w:pPr>
              <w:topLinePunct/>
              <w:spacing w:line="36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0" w:type="auto"/>
            <w:vMerge w:val="continue"/>
            <w:tcBorders>
              <w:top w:val="single" w:color="auto" w:sz="4" w:space="0"/>
              <w:left w:val="single" w:color="auto" w:sz="4" w:space="0"/>
              <w:bottom w:val="single" w:color="auto" w:sz="4" w:space="0"/>
            </w:tcBorders>
            <w:vAlign w:val="center"/>
          </w:tcPr>
          <w:p>
            <w:pPr>
              <w:topLinePunct/>
              <w:spacing w:line="360" w:lineRule="exact"/>
              <w:ind w:firstLine="360"/>
              <w:jc w:val="center"/>
              <w:rPr>
                <w:rFonts w:ascii="宋体" w:hAnsi="宋体" w:cs="宋体"/>
                <w:snapToGrid w:val="0"/>
                <w:sz w:val="18"/>
                <w:szCs w:val="18"/>
              </w:rPr>
            </w:pPr>
          </w:p>
        </w:tc>
      </w:tr>
    </w:tbl>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根据表2-3</w:t>
      </w:r>
      <w:r>
        <w:rPr>
          <w:rFonts w:hint="eastAsia" w:eastAsia="宋体" w:cs="Times New Roman"/>
          <w:color w:val="auto"/>
          <w:sz w:val="28"/>
          <w:szCs w:val="28"/>
          <w:lang w:eastAsia="zh-CN"/>
        </w:rPr>
        <w:t>评价的分值累加计</w:t>
      </w:r>
      <w:r>
        <w:rPr>
          <w:rFonts w:hint="eastAsia" w:eastAsia="宋体" w:cs="Times New Roman"/>
          <w:color w:val="auto"/>
          <w:sz w:val="28"/>
          <w:szCs w:val="28"/>
        </w:rPr>
        <w:t>算，森林公园旅游开发利用条件评价分值（L）得分为8分（满分值为10分）。</w:t>
      </w:r>
    </w:p>
    <w:p>
      <w:pPr>
        <w:pStyle w:val="3"/>
        <w:rPr>
          <w:rFonts w:hint="eastAsia"/>
        </w:rPr>
      </w:pPr>
      <w:bookmarkStart w:id="56" w:name="_Toc3473"/>
      <w:r>
        <w:rPr>
          <w:rFonts w:hint="eastAsia"/>
        </w:rPr>
        <w:t>第四节 风景资源质量等级评定</w:t>
      </w:r>
      <w:bookmarkEnd w:id="56"/>
    </w:p>
    <w:p>
      <w:pPr>
        <w:pStyle w:val="4"/>
        <w:rPr>
          <w:rFonts w:hint="eastAsia" w:ascii="宋体" w:hAnsi="宋体" w:eastAsia="宋体" w:cs="宋体"/>
          <w:lang w:val="en-US" w:eastAsia="zh-CN"/>
        </w:rPr>
      </w:pPr>
      <w:r>
        <w:rPr>
          <w:rFonts w:hint="eastAsia" w:ascii="宋体" w:hAnsi="宋体" w:eastAsia="宋体" w:cs="宋体"/>
          <w:lang w:val="en-US" w:eastAsia="zh-CN"/>
        </w:rPr>
        <w:t>一、评定依据</w:t>
      </w:r>
    </w:p>
    <w:p>
      <w:pPr>
        <w:widowControl/>
        <w:adjustRightInd/>
        <w:snapToGrid/>
        <w:spacing w:line="360" w:lineRule="auto"/>
        <w:ind w:firstLine="560" w:firstLineChars="0"/>
        <w:jc w:val="both"/>
        <w:rPr>
          <w:rFonts w:hint="eastAsia" w:eastAsia="宋体" w:cs="Times New Roman"/>
          <w:color w:val="auto"/>
          <w:sz w:val="28"/>
          <w:szCs w:val="28"/>
          <w:highlight w:val="yellow"/>
        </w:rPr>
      </w:pPr>
      <w:r>
        <w:rPr>
          <w:rFonts w:hint="eastAsia" w:eastAsia="宋体" w:cs="Times New Roman"/>
          <w:color w:val="auto"/>
          <w:sz w:val="28"/>
          <w:szCs w:val="28"/>
        </w:rPr>
        <w:t>根据《中国森林公园风景资源质量等级评定》（GB/T18005-1999），通过专业技术人员对西凤省级森林公园风景资源总体状况及风景资源质量、环境质量条件及旅游开发利用条件等方面的现场调查和监测，进行森林公园风景资源等级打分，</w:t>
      </w:r>
      <w:r>
        <w:rPr>
          <w:rFonts w:hint="eastAsia" w:eastAsia="宋体" w:cs="Times New Roman"/>
          <w:color w:val="auto"/>
          <w:sz w:val="28"/>
          <w:szCs w:val="28"/>
          <w:highlight w:val="none"/>
        </w:rPr>
        <w:t>详见表2-1、表2-2、表2-3。</w:t>
      </w:r>
    </w:p>
    <w:p>
      <w:pPr>
        <w:pStyle w:val="4"/>
        <w:rPr>
          <w:rFonts w:hint="eastAsia" w:ascii="宋体" w:hAnsi="宋体" w:eastAsia="宋体" w:cs="宋体"/>
          <w:lang w:val="en-US" w:eastAsia="zh-CN"/>
        </w:rPr>
      </w:pPr>
      <w:r>
        <w:rPr>
          <w:rFonts w:hint="eastAsia" w:ascii="宋体" w:hAnsi="宋体" w:eastAsia="宋体" w:cs="宋体"/>
          <w:lang w:val="en-US" w:eastAsia="zh-CN"/>
        </w:rPr>
        <w:t>二、评定标准</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森林公园风景资源质量等级评定分值按下列公式计算：</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N＝M+H+L</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式中：N—森林公园风景资源质量等级评定分值；</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M—森林风景资源质量评价分值；</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H—森林公园区域环境质量评价分值；</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L—森林公园旅游开发利用条件评价分值。</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森林公园风景资源质量等级评定分值满分为50分。划分为三级40～50分为一级，30～39分为二级，20～29分为三级。</w:t>
      </w:r>
    </w:p>
    <w:p>
      <w:pPr>
        <w:pStyle w:val="4"/>
        <w:rPr>
          <w:rFonts w:hint="eastAsia" w:ascii="宋体" w:hAnsi="宋体" w:eastAsia="宋体" w:cs="宋体"/>
          <w:lang w:val="en-US" w:eastAsia="zh-CN"/>
        </w:rPr>
      </w:pPr>
      <w:r>
        <w:rPr>
          <w:rFonts w:hint="eastAsia" w:ascii="宋体" w:hAnsi="宋体" w:eastAsia="宋体" w:cs="宋体"/>
          <w:lang w:val="en-US" w:eastAsia="zh-CN"/>
        </w:rPr>
        <w:t>三、评定结果</w:t>
      </w:r>
    </w:p>
    <w:p>
      <w:pPr>
        <w:widowControl/>
        <w:adjustRightInd/>
        <w:snapToGrid/>
        <w:spacing w:line="360" w:lineRule="auto"/>
        <w:ind w:firstLine="560" w:firstLineChars="0"/>
        <w:jc w:val="both"/>
        <w:rPr>
          <w:rFonts w:hint="eastAsia" w:eastAsia="宋体" w:cs="Times New Roman"/>
          <w:color w:val="auto"/>
          <w:sz w:val="28"/>
          <w:szCs w:val="28"/>
          <w:highlight w:val="yellow"/>
        </w:rPr>
      </w:pPr>
      <w:r>
        <w:rPr>
          <w:rFonts w:hint="eastAsia" w:eastAsia="宋体" w:cs="Times New Roman"/>
          <w:color w:val="auto"/>
          <w:sz w:val="28"/>
          <w:szCs w:val="28"/>
        </w:rPr>
        <w:t>通过以上对台前县西凤省级森林公园区域风景资源质量、区域环境质量和开发利用条件的评价，并综合其分值，得出区域风景资源质量等级分（N）为32.2分（N=M+H+L=18.7+5.5+8＝32.2），符合二级森林公园风景资源的标准</w:t>
      </w:r>
      <w:r>
        <w:rPr>
          <w:rFonts w:hint="eastAsia" w:eastAsia="宋体" w:cs="Times New Roman"/>
          <w:color w:val="auto"/>
          <w:sz w:val="28"/>
          <w:szCs w:val="28"/>
          <w:highlight w:val="none"/>
        </w:rPr>
        <w:t>。资源价值和旅游价值</w:t>
      </w:r>
      <w:r>
        <w:rPr>
          <w:rFonts w:hint="eastAsia" w:eastAsia="宋体" w:cs="Times New Roman"/>
          <w:color w:val="auto"/>
          <w:sz w:val="28"/>
          <w:szCs w:val="28"/>
          <w:highlight w:val="none"/>
          <w:lang w:val="en-US" w:eastAsia="zh-CN"/>
        </w:rPr>
        <w:t>较</w:t>
      </w:r>
      <w:r>
        <w:rPr>
          <w:rFonts w:hint="eastAsia" w:eastAsia="宋体" w:cs="Times New Roman"/>
          <w:color w:val="auto"/>
          <w:sz w:val="28"/>
          <w:szCs w:val="28"/>
          <w:highlight w:val="none"/>
        </w:rPr>
        <w:t>高，在保证其可持续发展的前提下，进行科学、</w:t>
      </w:r>
      <w:r>
        <w:rPr>
          <w:rFonts w:hint="eastAsia" w:eastAsia="宋体" w:cs="Times New Roman"/>
          <w:color w:val="auto"/>
          <w:sz w:val="28"/>
          <w:szCs w:val="28"/>
          <w:highlight w:val="none"/>
          <w:lang w:eastAsia="zh-CN"/>
        </w:rPr>
        <w:t>合理地开发</w:t>
      </w:r>
      <w:r>
        <w:rPr>
          <w:rFonts w:hint="eastAsia" w:eastAsia="宋体" w:cs="Times New Roman"/>
          <w:color w:val="auto"/>
          <w:sz w:val="28"/>
          <w:szCs w:val="28"/>
          <w:highlight w:val="none"/>
        </w:rPr>
        <w:t>利用。</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公园自然生态环境优良，为开发建设提供了良好的环境基础。适合开发森林浴场、野营地、森林游憩区等项目，给人们提供亲近自然、休闲养生、探险观光的好去处。在开发建设中紧扣特色风景资源核心，重点开展城郊森林公园市民健身、避暑纳凉、森林康养、游览观光、森林科普、运动休闲等主题的旅游活动，通过资源挖掘和整合，精心策划森林旅游项目，丰富公园旅游产品体系。</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总体来说，公园开展生态旅游前景广阔。</w:t>
      </w:r>
    </w:p>
    <w:p>
      <w:pPr>
        <w:widowControl/>
        <w:adjustRightInd/>
        <w:snapToGrid/>
        <w:spacing w:line="240" w:lineRule="auto"/>
        <w:ind w:firstLine="0" w:firstLineChars="0"/>
        <w:jc w:val="left"/>
        <w:rPr>
          <w:rFonts w:ascii="黑体" w:eastAsia="黑体" w:cs="Times New Roman"/>
          <w:kern w:val="21"/>
          <w:sz w:val="32"/>
          <w:szCs w:val="32"/>
        </w:rPr>
      </w:pPr>
      <w:r>
        <w:rPr>
          <w:sz w:val="32"/>
          <w:szCs w:val="32"/>
        </w:rP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57" w:name="_Toc32496"/>
      <w:r>
        <w:rPr>
          <w:rFonts w:hint="eastAsia" w:cs="Times New Roman"/>
          <w:b w:val="0"/>
          <w:bCs w:val="0"/>
          <w:i w:val="0"/>
          <w:iCs/>
          <w:color w:val="auto"/>
          <w:kern w:val="44"/>
          <w:szCs w:val="44"/>
        </w:rPr>
        <w:t>第三章 规划总则</w:t>
      </w:r>
      <w:bookmarkEnd w:id="57"/>
    </w:p>
    <w:p>
      <w:pPr>
        <w:pStyle w:val="3"/>
        <w:rPr>
          <w:rFonts w:hint="eastAsia"/>
        </w:rPr>
      </w:pPr>
      <w:bookmarkStart w:id="58" w:name="_Toc17715"/>
      <w:r>
        <w:rPr>
          <w:rFonts w:hint="eastAsia"/>
        </w:rPr>
        <w:t>第一节 指导思想</w:t>
      </w:r>
      <w:bookmarkEnd w:id="58"/>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坚持习近平总书记系列重要讲话精神为指导，坚持和完善生态文明制度体系，促进人与自然和谐共生。生态文明建设是关系中华民族永续发展的千年大计。以建设生态文明和美丽中国为宗旨，坚持保护优先、突出特色、市场导向、综合协调、操作落地、分步实施的原则，遵循“重在自然、贵在和谐、精在特色、优在服务”的建园理念，在切实保护好森林风景资源、维护自然生态平衡的前提下，以森林公园内苍郁婀娜的森林景观、丰富多彩的动物景观、瑰丽多姿的水体景观、神奇梦幻的天象景观以及凉爽宜人的气候资源为基础，大力发展休闲度假、康体养生、科普宣教、文体体验等内涵丰富的森林旅游项目，使之成为生态文明突出，休闲游览、科普教育等综合效益显著，知名度较高的省级森林公园，实现绿水青山就是金山银山。</w:t>
      </w:r>
    </w:p>
    <w:p>
      <w:pPr>
        <w:pStyle w:val="3"/>
        <w:rPr>
          <w:rFonts w:hint="eastAsia"/>
        </w:rPr>
      </w:pPr>
      <w:bookmarkStart w:id="59" w:name="_Toc9720"/>
      <w:r>
        <w:rPr>
          <w:rFonts w:hint="eastAsia"/>
        </w:rPr>
        <w:t>第二节 规划原则</w:t>
      </w:r>
      <w:bookmarkEnd w:id="59"/>
    </w:p>
    <w:p>
      <w:pPr>
        <w:pStyle w:val="4"/>
        <w:rPr>
          <w:rFonts w:hint="eastAsia" w:ascii="宋体" w:hAnsi="宋体" w:eastAsia="宋体" w:cs="宋体"/>
          <w:lang w:val="en-US" w:eastAsia="zh-CN"/>
        </w:rPr>
      </w:pPr>
      <w:bookmarkStart w:id="60" w:name="_Toc6502401"/>
      <w:bookmarkStart w:id="61" w:name="_Toc10789708"/>
      <w:bookmarkStart w:id="62" w:name="_Toc6502228"/>
      <w:r>
        <w:rPr>
          <w:rFonts w:hint="eastAsia" w:ascii="宋体" w:hAnsi="宋体" w:eastAsia="宋体" w:cs="宋体"/>
          <w:lang w:val="en-US" w:eastAsia="zh-CN"/>
        </w:rPr>
        <w:t>一、保护优先、适度建设的原则</w:t>
      </w:r>
      <w:bookmarkEnd w:id="60"/>
      <w:bookmarkEnd w:id="61"/>
      <w:bookmarkEnd w:id="62"/>
    </w:p>
    <w:p>
      <w:pPr>
        <w:keepNext w:val="0"/>
        <w:keepLines w:val="0"/>
        <w:pageBreakBefore w:val="0"/>
        <w:widowControl w:val="0"/>
        <w:kinsoku/>
        <w:wordWrap/>
        <w:overflowPunct/>
        <w:topLinePunct w:val="0"/>
        <w:autoSpaceDE/>
        <w:autoSpaceDN/>
        <w:bidi w:val="0"/>
        <w:adjustRightInd w:val="0"/>
        <w:snapToGrid w:val="0"/>
        <w:ind w:firstLine="560"/>
        <w:textAlignment w:val="auto"/>
        <w:rPr>
          <w:rFonts w:hint="eastAsia" w:ascii="宋体" w:hAnsi="宋体" w:eastAsia="宋体" w:cs="宋体"/>
        </w:rPr>
      </w:pPr>
      <w:r>
        <w:rPr>
          <w:rFonts w:hint="eastAsia" w:eastAsia="宋体" w:cs="Times New Roman"/>
          <w:color w:val="auto"/>
          <w:sz w:val="28"/>
          <w:szCs w:val="28"/>
        </w:rPr>
        <w:t>森林公园建设应满足发挥森林公园主体功能的要求，以保护为前提，遵循保护与开发相结合</w:t>
      </w:r>
      <w:r>
        <w:rPr>
          <w:rFonts w:hint="eastAsia" w:ascii="宋体" w:hAnsi="宋体" w:eastAsia="宋体" w:cs="宋体"/>
        </w:rPr>
        <w:t>的原则，处理好森林风景资源的保护与利用的关系，对森林公园的保护、利用与发展起到指导作用。建设规模应与游客规模和环境承载力相适应，进行适度建设。在项目设计建设中，保持森林公园资源及其环境风貌完整性，保护生态环境的多样性。</w:t>
      </w:r>
    </w:p>
    <w:p>
      <w:pPr>
        <w:pStyle w:val="4"/>
        <w:rPr>
          <w:rFonts w:hint="eastAsia" w:ascii="宋体" w:hAnsi="宋体" w:eastAsia="宋体" w:cs="宋体"/>
          <w:lang w:val="en-US" w:eastAsia="zh-CN"/>
        </w:rPr>
      </w:pPr>
      <w:bookmarkStart w:id="63" w:name="_Toc6502229"/>
      <w:bookmarkStart w:id="64" w:name="_Toc10789709"/>
      <w:bookmarkStart w:id="65" w:name="_Toc6502402"/>
      <w:r>
        <w:rPr>
          <w:rFonts w:hint="eastAsia" w:ascii="宋体" w:hAnsi="宋体" w:eastAsia="宋体" w:cs="宋体"/>
          <w:lang w:val="en-US" w:eastAsia="zh-CN"/>
        </w:rPr>
        <w:t>二、重点突出、分期建设的原则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森林公园的旅游开发，应该突出重点，排好开发顺序，分期分批地进行。规划项目不仅要考虑当前旅游开发的需要，也要适度超前以预留足够的发展空间。统筹安排各分区建设项目，合理配置森林公园各项基础设施，做好宏观控制，建设项目的具体实施应突出重点、先易后难，分步实施。</w:t>
      </w:r>
    </w:p>
    <w:p>
      <w:pPr>
        <w:pStyle w:val="4"/>
        <w:rPr>
          <w:rFonts w:hint="eastAsia" w:ascii="宋体" w:hAnsi="宋体" w:eastAsia="宋体" w:cs="宋体"/>
          <w:lang w:val="en-US" w:eastAsia="zh-CN"/>
        </w:rPr>
      </w:pPr>
      <w:r>
        <w:rPr>
          <w:rFonts w:hint="eastAsia" w:ascii="宋体" w:hAnsi="宋体" w:eastAsia="宋体" w:cs="宋体"/>
          <w:lang w:val="en-US" w:eastAsia="zh-CN"/>
        </w:rPr>
        <w:t>三、体现特色、突出精品的原则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应充分利用森林植被、树林溪涧景观和乡野情趣的资源优势，力求将其打造成以城市居民休闲健身为重点，开展休闲度假、康体养生、科普宣教、文化体验，结合森林康养、森林探险、森林体验等森林生态健康养生旅游精品，开发的旅游产品应充分体现生态性、保健性、参与性、娱乐性和乡土性。同时，强调规划的可操作性，避免华而不实、脱离实际，综合考虑森林公园的开发、保护、经营和管理各个环节，统筹规划。</w:t>
      </w:r>
    </w:p>
    <w:p>
      <w:pPr>
        <w:pStyle w:val="4"/>
        <w:rPr>
          <w:rFonts w:hint="eastAsia" w:ascii="宋体" w:hAnsi="宋体" w:eastAsia="宋体" w:cs="宋体"/>
          <w:highlight w:val="yellow"/>
          <w:lang w:val="en-US" w:eastAsia="zh-CN"/>
        </w:rPr>
      </w:pPr>
      <w:r>
        <w:rPr>
          <w:rFonts w:hint="eastAsia" w:ascii="宋体" w:hAnsi="宋体" w:eastAsia="宋体" w:cs="宋体"/>
          <w:lang w:val="en-US" w:eastAsia="zh-CN"/>
        </w:rPr>
        <w:t>四、市场导向，综合协调原则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通过对目标市场群体的分析，充分考虑细分旅游市场，开发系列旅游产品和旅游项目，满足旅游细分市场多样化需求、多档次需求，适应旅游市场和游客旅游习惯、旅游行为、旅游爱好的变化，使森林公园旅游产品在未来潜在顾客心目中占有较高位置。</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总体规划应与国土规划、区域规划、城市总体规划、土地利用总体规划、林地保护利用规划及其他相关规划相互协调，强化政府各部门参与和部门合作。征求森林公园周边居民意见，通过森林公园建设与旅游带动当地社会经济发展，让当地居民分享发展成果，强化社区参与，调动利益相关者保护、建设森林公园积极性。</w:t>
      </w:r>
    </w:p>
    <w:bookmarkEnd w:id="63"/>
    <w:bookmarkEnd w:id="64"/>
    <w:bookmarkEnd w:id="65"/>
    <w:p>
      <w:pPr>
        <w:pStyle w:val="3"/>
        <w:rPr>
          <w:rFonts w:hint="eastAsia"/>
        </w:rPr>
      </w:pPr>
      <w:bookmarkStart w:id="66" w:name="_Toc8432"/>
      <w:r>
        <w:rPr>
          <w:rFonts w:hint="eastAsia"/>
        </w:rPr>
        <w:t>第三节 规划依据</w:t>
      </w:r>
      <w:bookmarkEnd w:id="66"/>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rPr>
        <w:t>本规划主要依据</w:t>
      </w:r>
      <w:r>
        <w:rPr>
          <w:rFonts w:hint="eastAsia" w:eastAsia="宋体" w:cs="Times New Roman"/>
          <w:color w:val="auto"/>
          <w:sz w:val="28"/>
          <w:szCs w:val="28"/>
          <w:lang w:val="en-US" w:eastAsia="zh-CN"/>
        </w:rPr>
        <w:t>相</w:t>
      </w:r>
      <w:r>
        <w:rPr>
          <w:rFonts w:hint="eastAsia" w:eastAsia="宋体" w:cs="Times New Roman"/>
          <w:color w:val="auto"/>
          <w:sz w:val="28"/>
          <w:szCs w:val="28"/>
        </w:rPr>
        <w:t>关的法律法规、标准规范以及规划文件</w:t>
      </w:r>
      <w:r>
        <w:rPr>
          <w:rFonts w:hint="eastAsia" w:eastAsia="宋体" w:cs="Times New Roman"/>
          <w:color w:val="auto"/>
          <w:sz w:val="28"/>
          <w:szCs w:val="28"/>
          <w:lang w:val="en-US" w:eastAsia="zh-CN"/>
        </w:rPr>
        <w:t>如下：</w:t>
      </w:r>
    </w:p>
    <w:p>
      <w:pPr>
        <w:pStyle w:val="4"/>
        <w:rPr>
          <w:rFonts w:hint="eastAsia" w:ascii="宋体" w:hAnsi="宋体" w:eastAsia="宋体" w:cs="宋体"/>
          <w:lang w:val="en-US" w:eastAsia="zh-CN"/>
        </w:rPr>
      </w:pPr>
      <w:r>
        <w:rPr>
          <w:rFonts w:hint="eastAsia" w:ascii="宋体" w:hAnsi="宋体" w:eastAsia="宋体" w:cs="宋体"/>
          <w:lang w:val="en-US" w:eastAsia="zh-CN"/>
        </w:rPr>
        <w:t>一、法律法规</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1.《中华人民共和国森林法》（1998年4月29日修订）；</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2.《中华人民共和国野生动物保护法》（2009年8月27日修订）；</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3.《中华人民共和国土地管理法》(2004年8月28日修订</w:t>
      </w:r>
      <w:r>
        <w:rPr>
          <w:rFonts w:hint="eastAsia" w:eastAsia="宋体" w:cs="Times New Roman"/>
          <w:color w:val="auto"/>
          <w:sz w:val="28"/>
          <w:szCs w:val="28"/>
          <w:lang w:eastAsia="zh-CN"/>
        </w:rPr>
        <w:t>）</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4.《中华人民共和国城乡规划法》(2008年1月1日起施行</w:t>
      </w:r>
      <w:r>
        <w:rPr>
          <w:rFonts w:hint="eastAsia" w:eastAsia="宋体" w:cs="Times New Roman"/>
          <w:color w:val="auto"/>
          <w:sz w:val="28"/>
          <w:szCs w:val="28"/>
          <w:lang w:eastAsia="zh-CN"/>
        </w:rPr>
        <w:t>）</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5.《中华人民共和国文物保护法》(2007年12月29日修订</w:t>
      </w:r>
      <w:r>
        <w:rPr>
          <w:rFonts w:hint="eastAsia" w:eastAsia="宋体" w:cs="Times New Roman"/>
          <w:color w:val="auto"/>
          <w:sz w:val="28"/>
          <w:szCs w:val="28"/>
          <w:lang w:eastAsia="zh-CN"/>
        </w:rPr>
        <w:t>）</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6.《中华人民共和国旅游法》(2013年10月1日起施行</w:t>
      </w:r>
      <w:r>
        <w:rPr>
          <w:rFonts w:hint="eastAsia" w:eastAsia="宋体" w:cs="Times New Roman"/>
          <w:color w:val="auto"/>
          <w:sz w:val="28"/>
          <w:szCs w:val="28"/>
          <w:lang w:eastAsia="zh-CN"/>
        </w:rPr>
        <w:t>）</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7.《中华人民共和国环境保护法》（2014年4月24日修订）；</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8.《中华人民共和国水法》（2016年7月2日修订）；</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9.《中华人民共和国森林法实施条例》（2000年1月29日颁布）；</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10.《中华人民共和国自然保护区条例》（1994年10月9日颁布）；</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11.《中华人民共和国野生植物保护条例》（1996年9月30日颁布）；</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12.《河南省林地管理条例》（1999年5月30日起施行）；</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13.《国家级森林公园管理办法》（国家林业局令第27号）；</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14.《国家级森林公园总体规划审批管理办法》（林规发〔2015〕57号）；</w:t>
      </w:r>
    </w:p>
    <w:p>
      <w:pPr>
        <w:pStyle w:val="4"/>
        <w:rPr>
          <w:rFonts w:hint="eastAsia" w:ascii="宋体" w:hAnsi="宋体" w:eastAsia="宋体" w:cs="宋体"/>
          <w:lang w:val="en-US" w:eastAsia="zh-CN"/>
        </w:rPr>
      </w:pPr>
      <w:r>
        <w:rPr>
          <w:rFonts w:hint="eastAsia" w:ascii="宋体" w:hAnsi="宋体" w:eastAsia="宋体" w:cs="宋体"/>
          <w:lang w:val="en-US" w:eastAsia="zh-CN"/>
        </w:rPr>
        <w:t>二、技术规范</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1.《国家级森林公园总体规划规范》（LY/T 2005-2012）；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2.《中国森林公园风景资源质量等级评定》（GB/T 18005-1999）；</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3.《森林公园总体设计规范》（LY/T 5132—1995）；</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4.《旅游资源分类、调查与评价》（GB/T 18972-2003）；</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5.《旅游规划通则》（GB/T 18971-2003）；</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6.《风景名胜区规划规范》（GB 50298-1999）；</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7.《土地利用现状分类》（GB/T 21010-2017）；</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8.《公园设计规范》（CJJ 48-92）；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9.《森林防火工程技术标准》（LYJ 127-91）；</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10.《森林抚育规程》（GB/T15781-2015）；</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11.《生态公益林建设技术规程》（GB/T18337-2001）；</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12.《森林经营方案编制与实施规范》（LY/T 2007-2012）；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13.《环境空气质量标准》（GB 3095-2012）；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14.《地面水环境质量标准》（GB 3838-2002）；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15.《生活饮用水卫生标准》（GB 5749-2006）；</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16.《声环境质量标准》（GB 3096—2008）；</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17.《河南省级森林公园总体规划规范》（DB41/T645-2010）；</w:t>
      </w:r>
    </w:p>
    <w:p>
      <w:pPr>
        <w:pStyle w:val="4"/>
        <w:rPr>
          <w:rFonts w:hint="eastAsia" w:ascii="宋体" w:hAnsi="宋体" w:eastAsia="宋体" w:cs="宋体"/>
          <w:lang w:val="en-US" w:eastAsia="zh-CN"/>
        </w:rPr>
      </w:pPr>
      <w:r>
        <w:rPr>
          <w:rFonts w:hint="eastAsia" w:ascii="宋体" w:hAnsi="宋体" w:eastAsia="宋体" w:cs="宋体"/>
          <w:lang w:val="en-US" w:eastAsia="zh-CN"/>
        </w:rPr>
        <w:t>三、相关规划及文件</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1.《全国主体功能区规划》</w:t>
      </w:r>
      <w:r>
        <w:rPr>
          <w:rFonts w:hint="eastAsia" w:eastAsia="宋体" w:cs="Times New Roman"/>
          <w:color w:val="auto"/>
          <w:sz w:val="28"/>
          <w:szCs w:val="28"/>
          <w:lang w:eastAsia="zh-CN"/>
        </w:rPr>
        <w:t>（</w:t>
      </w:r>
      <w:r>
        <w:rPr>
          <w:rFonts w:hint="eastAsia" w:eastAsia="宋体" w:cs="Times New Roman"/>
          <w:color w:val="auto"/>
          <w:sz w:val="28"/>
          <w:szCs w:val="28"/>
        </w:rPr>
        <w:t>国发〔2010〕46号</w:t>
      </w:r>
      <w:r>
        <w:rPr>
          <w:rFonts w:hint="eastAsia" w:eastAsia="宋体" w:cs="Times New Roman"/>
          <w:color w:val="auto"/>
          <w:sz w:val="28"/>
          <w:szCs w:val="28"/>
          <w:lang w:eastAsia="zh-CN"/>
        </w:rPr>
        <w:t>）</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2.《全国林地保护利用规划纲要（2010—2020年）》；</w:t>
      </w:r>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lang w:val="en-US" w:eastAsia="zh-CN"/>
        </w:rPr>
        <w:t>3.</w:t>
      </w:r>
      <w:r>
        <w:rPr>
          <w:rFonts w:hint="eastAsia" w:eastAsia="宋体" w:cs="Times New Roman"/>
          <w:color w:val="auto"/>
          <w:sz w:val="28"/>
          <w:szCs w:val="28"/>
        </w:rPr>
        <w:t>《森林河南生态建设规划（2018-2027）》</w:t>
      </w:r>
      <w:r>
        <w:rPr>
          <w:rFonts w:hint="eastAsia" w:eastAsia="宋体" w:cs="Times New Roman"/>
          <w:color w:val="auto"/>
          <w:sz w:val="28"/>
          <w:szCs w:val="28"/>
          <w:lang w:eastAsia="zh-CN"/>
        </w:rPr>
        <w:t>；</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4.《台前县城乡总体规划（2016</w:t>
      </w:r>
      <w:r>
        <w:rPr>
          <w:rFonts w:hint="eastAsia" w:eastAsia="宋体" w:cs="Times New Roman"/>
          <w:color w:val="auto"/>
          <w:sz w:val="28"/>
          <w:szCs w:val="28"/>
        </w:rPr>
        <w:t>—</w:t>
      </w:r>
      <w:r>
        <w:rPr>
          <w:rFonts w:hint="eastAsia" w:eastAsia="宋体" w:cs="Times New Roman"/>
          <w:color w:val="auto"/>
          <w:sz w:val="28"/>
          <w:szCs w:val="28"/>
          <w:lang w:val="en-US" w:eastAsia="zh-CN"/>
        </w:rPr>
        <w:t>2035）》；</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5.《濮阳市国家储备林基地建设方案（2017-2022）》；</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6.《拟设台前县西凤省级森林公园可行性研究报告（2019）》；</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7.《河南省林业局关于同意台前县栖凤省级森林公园备案的意见》（豫林园〔2019〕172号）；</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8.《中共台前县委24次常委会会议纪要》（九届〔2017〕10号）；</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9.《中共台前县委、台前县人民政府关于成立台前县国家储备林基地建设领导小组的通知》（台文〔2017〕42号）；</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10.《台前县人民政府县长办公会议纪要》（〔2017〕5号）。</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pStyle w:val="3"/>
        <w:rPr>
          <w:rFonts w:hint="eastAsia"/>
        </w:rPr>
      </w:pPr>
      <w:bookmarkStart w:id="67" w:name="_Toc28766"/>
      <w:r>
        <w:rPr>
          <w:rFonts w:hint="eastAsia"/>
        </w:rPr>
        <w:t>第四节 森林公园定位</w:t>
      </w:r>
      <w:bookmarkEnd w:id="67"/>
    </w:p>
    <w:p>
      <w:pPr>
        <w:pStyle w:val="4"/>
        <w:rPr>
          <w:rFonts w:hint="eastAsia" w:ascii="宋体" w:hAnsi="宋体" w:eastAsia="宋体" w:cs="宋体"/>
          <w:lang w:val="en-US" w:eastAsia="zh-CN"/>
        </w:rPr>
      </w:pPr>
      <w:r>
        <w:rPr>
          <w:rFonts w:hint="eastAsia" w:ascii="宋体" w:hAnsi="宋体" w:eastAsia="宋体" w:cs="宋体"/>
          <w:lang w:val="en-US" w:eastAsia="zh-CN"/>
        </w:rPr>
        <w:t>一、主题定位</w:t>
      </w:r>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rPr>
        <w:t>西凤省级森林公园作为台前县的城郊型森林公园，依托现有的平原水系脉络等独特风光，构建以森林风景资源为主体、城乡一体的城镇生态系统，让城市融入大自然，让居民望得见林、看得见水，生活在绿色美丽的城镇之中。森林公园</w:t>
      </w:r>
      <w:r>
        <w:rPr>
          <w:rFonts w:hint="eastAsia" w:eastAsia="宋体" w:cs="Times New Roman"/>
          <w:color w:val="auto"/>
          <w:sz w:val="28"/>
          <w:szCs w:val="28"/>
          <w:lang w:val="en-US" w:eastAsia="zh-CN"/>
        </w:rPr>
        <w:t>的主题</w:t>
      </w:r>
      <w:r>
        <w:rPr>
          <w:rFonts w:hint="eastAsia" w:eastAsia="宋体" w:cs="Times New Roman"/>
          <w:color w:val="auto"/>
          <w:sz w:val="28"/>
          <w:szCs w:val="28"/>
        </w:rPr>
        <w:t>定位</w:t>
      </w:r>
      <w:r>
        <w:rPr>
          <w:rFonts w:hint="eastAsia" w:eastAsia="宋体" w:cs="Times New Roman"/>
          <w:color w:val="auto"/>
          <w:sz w:val="28"/>
          <w:szCs w:val="28"/>
          <w:lang w:val="en-US" w:eastAsia="zh-CN"/>
        </w:rPr>
        <w:t>为</w:t>
      </w:r>
      <w:r>
        <w:rPr>
          <w:rFonts w:hint="eastAsia" w:eastAsia="宋体" w:cs="Times New Roman"/>
          <w:b/>
          <w:bCs/>
          <w:color w:val="auto"/>
          <w:sz w:val="28"/>
          <w:szCs w:val="28"/>
          <w:lang w:val="en-US" w:eastAsia="zh-CN"/>
        </w:rPr>
        <w:t>“休闲康养圣地，森林度假天堂，台前文化展区，科普宣教基地”</w:t>
      </w:r>
      <w:r>
        <w:rPr>
          <w:rFonts w:hint="eastAsia" w:eastAsia="宋体" w:cs="Times New Roman"/>
          <w:color w:val="auto"/>
          <w:sz w:val="28"/>
          <w:szCs w:val="28"/>
          <w:lang w:val="en-US" w:eastAsia="zh-CN"/>
        </w:rPr>
        <w:t>。</w:t>
      </w:r>
    </w:p>
    <w:p>
      <w:pPr>
        <w:pStyle w:val="4"/>
        <w:rPr>
          <w:rFonts w:hint="eastAsia" w:ascii="宋体" w:hAnsi="宋体" w:eastAsia="宋体" w:cs="宋体"/>
          <w:lang w:val="en-US" w:eastAsia="zh-CN"/>
        </w:rPr>
      </w:pPr>
      <w:r>
        <w:rPr>
          <w:rFonts w:hint="eastAsia" w:ascii="宋体" w:hAnsi="宋体" w:eastAsia="宋体" w:cs="宋体"/>
          <w:lang w:val="en-US" w:eastAsia="zh-CN"/>
        </w:rPr>
        <w:t>二、功能定位</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（一）环境调节功能</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公园森林植被覆盖度高，可以制造氧气、阻尘降温、降低噪音，对城市生态环境起到良好的调节作用，是台前不可或缺的生态屏障。公园在城镇扩张的过程中，作为抑制城市扩张的自然屏障，可以起到生态防护的作用。</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（二）休闲游憩功能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近年来，我国居民假日旅游休闲已经变得非常普遍，回归大自然的活动对久居城市的人们而言极富吸引力。西凤森林公园作为距离城市最近、具有“大自然”属性的游憩地，是周边城市居民短途出游的最佳选择。城郊型的西凤森林公园是吸纳城市居民开展短途生态游憩活动的最佳场所。</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（三）康体健身功能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随着全民保健意识的增强，市民的康体健身需求旺盛。西凤森林公园森林覆盖</w:t>
      </w:r>
      <w:r>
        <w:rPr>
          <w:rFonts w:hint="eastAsia" w:eastAsia="宋体" w:cs="Times New Roman"/>
          <w:color w:val="auto"/>
          <w:sz w:val="28"/>
          <w:szCs w:val="28"/>
          <w:lang w:val="en-US" w:eastAsia="zh-CN"/>
        </w:rPr>
        <w:t>率</w:t>
      </w:r>
      <w:r>
        <w:rPr>
          <w:rFonts w:hint="eastAsia" w:eastAsia="宋体" w:cs="Times New Roman"/>
          <w:color w:val="auto"/>
          <w:sz w:val="28"/>
          <w:szCs w:val="28"/>
        </w:rPr>
        <w:t>高，生态环境良好，森林小气候</w:t>
      </w:r>
      <w:r>
        <w:rPr>
          <w:rFonts w:hint="eastAsia" w:eastAsia="宋体" w:cs="Times New Roman"/>
          <w:color w:val="auto"/>
          <w:sz w:val="28"/>
          <w:szCs w:val="28"/>
          <w:lang w:val="en-US" w:eastAsia="zh-CN"/>
        </w:rPr>
        <w:t>怡人</w:t>
      </w:r>
      <w:r>
        <w:rPr>
          <w:rFonts w:hint="eastAsia" w:eastAsia="宋体" w:cs="Times New Roman"/>
          <w:color w:val="auto"/>
          <w:sz w:val="28"/>
          <w:szCs w:val="28"/>
        </w:rPr>
        <w:t>，森林中的空气负</w:t>
      </w:r>
      <w:r>
        <w:rPr>
          <w:rFonts w:hint="eastAsia" w:eastAsia="宋体" w:cs="Times New Roman"/>
          <w:color w:val="auto"/>
          <w:sz w:val="28"/>
          <w:szCs w:val="28"/>
          <w:lang w:val="en-US" w:eastAsia="zh-CN"/>
        </w:rPr>
        <w:t>氧</w:t>
      </w:r>
      <w:r>
        <w:rPr>
          <w:rFonts w:hint="eastAsia" w:eastAsia="宋体" w:cs="Times New Roman"/>
          <w:color w:val="auto"/>
          <w:sz w:val="28"/>
          <w:szCs w:val="28"/>
        </w:rPr>
        <w:t>离子、植物等对人体非常有益，具有优良的康体保健功能，是城市居民短途休憩疗养的最佳去处。</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（四）环境教育功能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森林公园动植物资源众多，森林生态环境良好，是向市民开展生态环境教育的良好场所。由于靠近城市，可以与学校教育相结合，开辟成为科普、环境教育的“第二课堂”，加强少年儿童对自然界的认识，弥补课堂教育的不足，宣传森林科普知识，倡导环境保护意识，实现公园的环境教育功能，提升公园的生态文化品位和社会影响力。</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（五）科学研究功能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森林公园是良好的生态环境研究场所，提供了森林生态保育及演替研究的机会。公园对保护和研究名木、花卉植物也具有十分重要的作用。公园的科研功能与环境教育功能相得益彰，可以促进环境教育功能的实现。</w:t>
      </w:r>
    </w:p>
    <w:p>
      <w:pPr>
        <w:pStyle w:val="4"/>
        <w:rPr>
          <w:rFonts w:hint="eastAsia" w:ascii="宋体" w:hAnsi="宋体" w:eastAsia="宋体" w:cs="宋体"/>
          <w:lang w:val="en-US" w:eastAsia="zh-CN"/>
        </w:rPr>
      </w:pPr>
      <w:r>
        <w:rPr>
          <w:rFonts w:hint="eastAsia" w:ascii="宋体" w:hAnsi="宋体" w:eastAsia="宋体" w:cs="宋体"/>
          <w:lang w:val="en-US" w:eastAsia="zh-CN"/>
        </w:rPr>
        <w:t>三、开发定位</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城郊型森林公园由于其地理位置和服务对象的特殊性，决定了它的地位、功能与其他森林公园有所不同，因此城郊型森林公园规划建设中的性质定位也有其特殊性。西凤森林公园的客源主体是本市及周边居民，他们的城郊出游目的并非是为了饱览名山胜水，而是为了享受清新的空气、闲适安静的环境，在紧张的工作之余调节一下精神和情绪。位于台前县郊区的西凤森林公园没有奇峰峻岭和闻名天下的历史古迹，它的特色在于以森林景观为主的自然环境、清新的空气和安静的氛围。因此公园内不适合耗费巨资盲目营建人工景观，而是侧重于针对周边居民的短途游憩、健身休闲、家庭娱游、科普教育、野趣探寻等旅游产品的开发；开发形式应以国家投入为主，强调城郊森林公园的公益性特征，低门票或免门票；建设项目的消费品级应与当地居民的整体消费水平相一致；以</w:t>
      </w:r>
      <w:r>
        <w:rPr>
          <w:rFonts w:hint="eastAsia" w:eastAsia="宋体" w:cs="Times New Roman"/>
          <w:color w:val="auto"/>
          <w:sz w:val="28"/>
          <w:szCs w:val="28"/>
          <w:lang w:val="en-US" w:eastAsia="zh-CN"/>
        </w:rPr>
        <w:t>自然</w:t>
      </w:r>
      <w:r>
        <w:rPr>
          <w:rFonts w:hint="eastAsia" w:eastAsia="宋体" w:cs="Times New Roman"/>
          <w:color w:val="auto"/>
          <w:sz w:val="28"/>
          <w:szCs w:val="28"/>
        </w:rPr>
        <w:t>野趣为旅游引线，逐渐将节事旅游、康养旅游、科普旅游等多种形式融入其中。</w:t>
      </w:r>
    </w:p>
    <w:p>
      <w:pPr>
        <w:widowControl/>
        <w:adjustRightInd/>
        <w:snapToGrid/>
        <w:spacing w:line="240" w:lineRule="auto"/>
        <w:ind w:firstLine="0" w:firstLineChars="0"/>
        <w:jc w:val="left"/>
        <w:rPr>
          <w:rFonts w:eastAsia="黑体"/>
          <w:kern w:val="44"/>
          <w:sz w:val="44"/>
        </w:rPr>
      </w:pPr>
      <w: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default" w:cs="Times New Roman"/>
          <w:b w:val="0"/>
          <w:bCs w:val="0"/>
          <w:i w:val="0"/>
          <w:iCs/>
          <w:color w:val="auto"/>
          <w:kern w:val="44"/>
          <w:szCs w:val="44"/>
          <w:lang w:val="en-US" w:eastAsia="zh-CN"/>
        </w:rPr>
      </w:pPr>
      <w:bookmarkStart w:id="68" w:name="_Toc14464"/>
      <w:r>
        <w:rPr>
          <w:rFonts w:hint="eastAsia" w:cs="Times New Roman"/>
          <w:b w:val="0"/>
          <w:bCs w:val="0"/>
          <w:i w:val="0"/>
          <w:iCs/>
          <w:color w:val="auto"/>
          <w:kern w:val="44"/>
          <w:szCs w:val="44"/>
        </w:rPr>
        <w:t>第四章 总体布局</w:t>
      </w:r>
      <w:r>
        <w:rPr>
          <w:rFonts w:hint="eastAsia" w:cs="Times New Roman"/>
          <w:b w:val="0"/>
          <w:bCs w:val="0"/>
          <w:i w:val="0"/>
          <w:iCs/>
          <w:color w:val="auto"/>
          <w:kern w:val="44"/>
          <w:szCs w:val="44"/>
          <w:lang w:val="en-US" w:eastAsia="zh-CN"/>
        </w:rPr>
        <w:t>与发展目标</w:t>
      </w:r>
      <w:bookmarkEnd w:id="68"/>
    </w:p>
    <w:p>
      <w:pPr>
        <w:pStyle w:val="3"/>
        <w:rPr>
          <w:rFonts w:hint="eastAsia"/>
        </w:rPr>
      </w:pPr>
      <w:bookmarkStart w:id="69" w:name="_Toc5769"/>
      <w:r>
        <w:rPr>
          <w:rFonts w:hint="eastAsia"/>
        </w:rPr>
        <w:t>第一节 森林公园范围</w:t>
      </w:r>
      <w:bookmarkEnd w:id="69"/>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台前县西凤省级森林公园坐落在濮阳市台前县后方和城关镇境内，规划面积178.53公顷。公园东西宽约1.3公里，南北长约2公里。南至G342，北至金堤河南沿，东至聂马路，西至高速引线。公园地理坐标为：东经115</w:t>
      </w:r>
      <w:r>
        <w:rPr>
          <w:rFonts w:hint="default" w:ascii="Times New Roman" w:hAnsi="Times New Roman" w:eastAsia="宋体" w:cs="Times New Roman"/>
          <w:color w:val="auto"/>
          <w:sz w:val="28"/>
          <w:szCs w:val="28"/>
        </w:rPr>
        <w:t>°</w:t>
      </w:r>
      <w:r>
        <w:rPr>
          <w:rFonts w:hint="eastAsia" w:eastAsia="宋体" w:cs="Times New Roman"/>
          <w:color w:val="auto"/>
          <w:sz w:val="28"/>
          <w:szCs w:val="28"/>
        </w:rPr>
        <w:t>47</w:t>
      </w:r>
      <w:r>
        <w:rPr>
          <w:rFonts w:hint="default" w:ascii="Times New Roman" w:hAnsi="Times New Roman" w:eastAsia="宋体" w:cs="Times New Roman"/>
          <w:color w:val="auto"/>
          <w:sz w:val="28"/>
          <w:szCs w:val="28"/>
        </w:rPr>
        <w:t>′</w:t>
      </w:r>
      <w:r>
        <w:rPr>
          <w:rFonts w:hint="eastAsia" w:eastAsia="宋体" w:cs="Times New Roman"/>
          <w:color w:val="auto"/>
          <w:sz w:val="28"/>
          <w:szCs w:val="28"/>
        </w:rPr>
        <w:t>47</w:t>
      </w:r>
      <w:r>
        <w:rPr>
          <w:rFonts w:hint="default" w:ascii="Times New Roman" w:hAnsi="Times New Roman" w:eastAsia="宋体" w:cs="Times New Roman"/>
          <w:color w:val="auto"/>
          <w:sz w:val="28"/>
          <w:szCs w:val="28"/>
        </w:rPr>
        <w:t>″</w:t>
      </w:r>
      <w:r>
        <w:rPr>
          <w:rFonts w:hint="eastAsia" w:eastAsia="宋体" w:cs="Times New Roman"/>
          <w:color w:val="auto"/>
          <w:sz w:val="28"/>
          <w:szCs w:val="28"/>
        </w:rPr>
        <w:t>—1</w:t>
      </w:r>
      <w:r>
        <w:rPr>
          <w:rFonts w:hint="eastAsia" w:ascii="Times New Roman" w:hAnsi="Times New Roman" w:eastAsia="宋体" w:cs="Times New Roman"/>
          <w:color w:val="auto"/>
          <w:sz w:val="28"/>
          <w:szCs w:val="28"/>
        </w:rPr>
        <w:t>15</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48</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48</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rPr>
        <w:t>，</w:t>
      </w:r>
      <w:r>
        <w:rPr>
          <w:rFonts w:hint="eastAsia" w:eastAsia="宋体" w:cs="Times New Roman"/>
          <w:color w:val="auto"/>
          <w:sz w:val="28"/>
          <w:szCs w:val="28"/>
        </w:rPr>
        <w:t>北纬35</w:t>
      </w:r>
      <w:r>
        <w:rPr>
          <w:rFonts w:hint="default" w:ascii="Times New Roman" w:hAnsi="Times New Roman" w:eastAsia="宋体" w:cs="Times New Roman"/>
          <w:color w:val="auto"/>
          <w:sz w:val="28"/>
          <w:szCs w:val="28"/>
        </w:rPr>
        <w:t>°</w:t>
      </w:r>
      <w:r>
        <w:rPr>
          <w:rFonts w:hint="eastAsia" w:eastAsia="宋体" w:cs="Times New Roman"/>
          <w:color w:val="auto"/>
          <w:sz w:val="28"/>
          <w:szCs w:val="28"/>
        </w:rPr>
        <w:t>57</w:t>
      </w:r>
      <w:r>
        <w:rPr>
          <w:rFonts w:hint="default" w:ascii="Times New Roman" w:hAnsi="Times New Roman" w:eastAsia="宋体" w:cs="Times New Roman"/>
          <w:color w:val="auto"/>
          <w:sz w:val="28"/>
          <w:szCs w:val="28"/>
        </w:rPr>
        <w:t>′</w:t>
      </w:r>
      <w:r>
        <w:rPr>
          <w:rFonts w:hint="eastAsia" w:eastAsia="宋体" w:cs="Times New Roman"/>
          <w:color w:val="auto"/>
          <w:sz w:val="28"/>
          <w:szCs w:val="28"/>
        </w:rPr>
        <w:t>55</w:t>
      </w:r>
      <w:r>
        <w:rPr>
          <w:rFonts w:hint="default" w:ascii="Times New Roman" w:hAnsi="Times New Roman" w:eastAsia="宋体" w:cs="Times New Roman"/>
          <w:color w:val="auto"/>
          <w:sz w:val="28"/>
          <w:szCs w:val="28"/>
        </w:rPr>
        <w:t>″</w:t>
      </w:r>
      <w:r>
        <w:rPr>
          <w:rFonts w:hint="eastAsia" w:eastAsia="宋体" w:cs="Times New Roman"/>
          <w:color w:val="auto"/>
          <w:sz w:val="28"/>
          <w:szCs w:val="28"/>
        </w:rPr>
        <w:t>—35</w:t>
      </w:r>
      <w:r>
        <w:rPr>
          <w:rFonts w:hint="default" w:ascii="Times New Roman" w:hAnsi="Times New Roman" w:eastAsia="宋体" w:cs="Times New Roman"/>
          <w:color w:val="auto"/>
          <w:sz w:val="28"/>
          <w:szCs w:val="28"/>
        </w:rPr>
        <w:t>°</w:t>
      </w:r>
      <w:r>
        <w:rPr>
          <w:rFonts w:hint="eastAsia" w:eastAsia="宋体" w:cs="Times New Roman"/>
          <w:color w:val="auto"/>
          <w:sz w:val="28"/>
          <w:szCs w:val="28"/>
        </w:rPr>
        <w:t>59</w:t>
      </w:r>
      <w:r>
        <w:rPr>
          <w:rFonts w:hint="default" w:ascii="Times New Roman" w:hAnsi="Times New Roman" w:eastAsia="宋体" w:cs="Times New Roman"/>
          <w:color w:val="auto"/>
          <w:sz w:val="28"/>
          <w:szCs w:val="28"/>
        </w:rPr>
        <w:t>′</w:t>
      </w:r>
      <w:r>
        <w:rPr>
          <w:rFonts w:hint="eastAsia" w:eastAsia="宋体" w:cs="Times New Roman"/>
          <w:color w:val="auto"/>
          <w:sz w:val="28"/>
          <w:szCs w:val="28"/>
        </w:rPr>
        <w:t>1</w:t>
      </w:r>
      <w:r>
        <w:rPr>
          <w:rFonts w:hint="default" w:ascii="Times New Roman" w:hAnsi="Times New Roman" w:eastAsia="宋体" w:cs="Times New Roman"/>
          <w:color w:val="auto"/>
          <w:sz w:val="28"/>
          <w:szCs w:val="28"/>
        </w:rPr>
        <w:t>″</w:t>
      </w:r>
      <w:r>
        <w:rPr>
          <w:rFonts w:hint="eastAsia" w:eastAsia="宋体" w:cs="Times New Roman"/>
          <w:color w:val="auto"/>
          <w:sz w:val="28"/>
          <w:szCs w:val="28"/>
        </w:rPr>
        <w:t>。</w:t>
      </w:r>
    </w:p>
    <w:p>
      <w:pPr>
        <w:pStyle w:val="3"/>
        <w:rPr>
          <w:rFonts w:hint="eastAsia"/>
        </w:rPr>
      </w:pPr>
      <w:bookmarkStart w:id="70" w:name="_Toc3088"/>
      <w:r>
        <w:rPr>
          <w:rFonts w:hint="eastAsia"/>
        </w:rPr>
        <w:t>第二节 总体布局</w:t>
      </w:r>
      <w:bookmarkEnd w:id="70"/>
    </w:p>
    <w:p>
      <w:pPr>
        <w:pStyle w:val="4"/>
        <w:rPr>
          <w:rFonts w:hint="eastAsia" w:ascii="宋体" w:hAnsi="宋体" w:eastAsia="宋体" w:cs="宋体"/>
          <w:lang w:val="en-US" w:eastAsia="zh-CN"/>
        </w:rPr>
      </w:pPr>
      <w:r>
        <w:rPr>
          <w:rFonts w:hint="eastAsia" w:ascii="宋体" w:hAnsi="宋体" w:eastAsia="宋体" w:cs="宋体"/>
          <w:lang w:val="en-US" w:eastAsia="zh-CN"/>
        </w:rPr>
        <w:t>一、区划系统</w:t>
      </w:r>
    </w:p>
    <w:p>
      <w:pPr>
        <w:widowControl/>
        <w:adjustRightInd/>
        <w:snapToGrid/>
        <w:spacing w:line="360" w:lineRule="auto"/>
        <w:ind w:firstLine="560" w:firstLineChars="0"/>
        <w:jc w:val="both"/>
        <w:rPr>
          <w:rFonts w:hint="eastAsia" w:eastAsia="宋体" w:cs="Times New Roman"/>
          <w:color w:val="auto"/>
          <w:sz w:val="28"/>
          <w:szCs w:val="28"/>
        </w:rPr>
      </w:pPr>
      <w:bookmarkStart w:id="71" w:name="_Toc35941222"/>
      <w:r>
        <mc:AlternateContent>
          <mc:Choice Requires="wps">
            <w:drawing>
              <wp:anchor distT="0" distB="0" distL="114300" distR="114300" simplePos="0" relativeHeight="251662336" behindDoc="0" locked="0" layoutInCell="1" allowOverlap="1">
                <wp:simplePos x="0" y="0"/>
                <wp:positionH relativeFrom="column">
                  <wp:posOffset>3536315</wp:posOffset>
                </wp:positionH>
                <wp:positionV relativeFrom="page">
                  <wp:posOffset>5589905</wp:posOffset>
                </wp:positionV>
                <wp:extent cx="164465" cy="0"/>
                <wp:effectExtent l="0" t="0" r="26035" b="19050"/>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78.45pt;margin-top:440.15pt;height:0pt;width:12.95pt;mso-position-vertical-relative:page;z-index:251662336;mso-width-relative:page;mso-height-relative:page;" filled="f" stroked="t" coordsize="21600,21600" o:gfxdata="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biZ9cAAAALAQAADwAAAAAAAAABACAAAAAiAAAAZHJzL2Rvd25yZXYueG1sUEsBAhQA&#10;FAAAAAgAh07iQI22Tw7zAQAAvQMAAA4AAAAAAAAAAQAgAAAAJgEAAGRycy9lMm9Eb2MueG1sUEsF&#10;BgAAAAAGAAYAWQEAAIsFAAAAAA==&#10;">
                <v:fill on="f" focussize="0,0"/>
                <v:stroke color="#000000" joinstyle="round"/>
                <v:imagedata o:title=""/>
                <o:lock v:ext="edit" aspectratio="f"/>
              </v:shape>
            </w:pict>
          </mc:Fallback>
        </mc:AlternateContent>
      </w:r>
      <w:bookmarkEnd w:id="71"/>
      <w:r>
        <w:rPr>
          <w:rFonts w:hint="eastAsia" w:eastAsia="宋体" w:cs="Times New Roman"/>
          <w:color w:val="auto"/>
          <w:sz w:val="28"/>
          <w:szCs w:val="28"/>
        </w:rPr>
        <mc:AlternateContent>
          <mc:Choice Requires="wps">
            <w:drawing>
              <wp:anchor distT="0" distB="0" distL="114300" distR="114300" simplePos="0" relativeHeight="251663360" behindDoc="0" locked="0" layoutInCell="1" allowOverlap="1">
                <wp:simplePos x="0" y="0"/>
                <wp:positionH relativeFrom="column">
                  <wp:posOffset>3715385</wp:posOffset>
                </wp:positionH>
                <wp:positionV relativeFrom="page">
                  <wp:posOffset>5453380</wp:posOffset>
                </wp:positionV>
                <wp:extent cx="483870" cy="296545"/>
                <wp:effectExtent l="0" t="0" r="0" b="825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83870" cy="296545"/>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景区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2.55pt;margin-top:429.4pt;height:23.35pt;width:38.1pt;mso-position-vertical-relative:page;z-index:251663360;mso-width-relative:page;mso-height-relative:page;" fillcolor="#FFFFFF" filled="t" stroked="f" coordsize="21600,21600" o:gfxdata="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ndTedkAAAALAQAADwAAAAAAAAABACAAAAAiAAAAZHJzL2Rvd25yZXYueG1sUEsBAhQA&#10;FAAAAAgAh07iQPK8boEqAgAAPQQAAA4AAAAAAAAAAQAgAAAAKAEAAGRycy9lMm9Eb2MueG1sUEsF&#10;BgAAAAAGAAYAWQEAAMQFAA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景区</w:t>
                      </w:r>
                    </w:p>
                  </w:txbxContent>
                </v:textbox>
              </v:shape>
            </w:pict>
          </mc:Fallback>
        </mc:AlternateContent>
      </w:r>
      <w:r>
        <w:rPr>
          <w:rFonts w:hint="eastAsia" w:eastAsia="宋体" w:cs="Times New Roman"/>
          <w:color w:val="auto"/>
          <w:sz w:val="28"/>
          <w:szCs w:val="28"/>
        </w:rPr>
        <mc:AlternateContent>
          <mc:Choice Requires="wpg">
            <w:drawing>
              <wp:anchor distT="0" distB="0" distL="114300" distR="114300" simplePos="0" relativeHeight="251661312" behindDoc="0" locked="0" layoutInCell="1" allowOverlap="1">
                <wp:simplePos x="0" y="0"/>
                <wp:positionH relativeFrom="column">
                  <wp:posOffset>767080</wp:posOffset>
                </wp:positionH>
                <wp:positionV relativeFrom="paragraph">
                  <wp:posOffset>638810</wp:posOffset>
                </wp:positionV>
                <wp:extent cx="2992120" cy="1754505"/>
                <wp:effectExtent l="0" t="0" r="0" b="0"/>
                <wp:wrapNone/>
                <wp:docPr id="5" name="组合 5"/>
                <wp:cNvGraphicFramePr/>
                <a:graphic xmlns:a="http://schemas.openxmlformats.org/drawingml/2006/main">
                  <a:graphicData uri="http://schemas.microsoft.com/office/word/2010/wordprocessingGroup">
                    <wpg:wgp>
                      <wpg:cNvGrpSpPr/>
                      <wpg:grpSpPr>
                        <a:xfrm>
                          <a:off x="0" y="0"/>
                          <a:ext cx="2992098" cy="1754459"/>
                          <a:chOff x="495" y="0"/>
                          <a:chExt cx="5004" cy="2997"/>
                        </a:xfrm>
                      </wpg:grpSpPr>
                      <wps:wsp>
                        <wps:cNvPr id="9" name="AutoShape 3"/>
                        <wps:cNvCnPr>
                          <a:cxnSpLocks noChangeShapeType="1"/>
                        </wps:cNvCnPr>
                        <wps:spPr bwMode="auto">
                          <a:xfrm flipV="1">
                            <a:off x="1492" y="937"/>
                            <a:ext cx="0" cy="1446"/>
                          </a:xfrm>
                          <a:prstGeom prst="straightConnector1">
                            <a:avLst/>
                          </a:prstGeom>
                          <a:noFill/>
                          <a:ln w="9525">
                            <a:solidFill>
                              <a:srgbClr val="000000"/>
                            </a:solidFill>
                            <a:round/>
                          </a:ln>
                        </wps:spPr>
                        <wps:bodyPr/>
                      </wps:wsp>
                      <wps:wsp>
                        <wps:cNvPr id="10" name="AutoShape 4"/>
                        <wps:cNvCnPr>
                          <a:cxnSpLocks noChangeShapeType="1"/>
                        </wps:cNvCnPr>
                        <wps:spPr bwMode="auto">
                          <a:xfrm>
                            <a:off x="1122" y="1713"/>
                            <a:ext cx="370" cy="0"/>
                          </a:xfrm>
                          <a:prstGeom prst="straightConnector1">
                            <a:avLst/>
                          </a:prstGeom>
                          <a:noFill/>
                          <a:ln w="9525">
                            <a:solidFill>
                              <a:srgbClr val="000000"/>
                            </a:solidFill>
                            <a:round/>
                          </a:ln>
                        </wps:spPr>
                        <wps:bodyPr/>
                      </wps:wsp>
                      <wps:wsp>
                        <wps:cNvPr id="11" name="Text Box 5"/>
                        <wps:cNvSpPr txBox="1">
                          <a:spLocks noChangeArrowheads="1"/>
                        </wps:cNvSpPr>
                        <wps:spPr bwMode="auto">
                          <a:xfrm>
                            <a:off x="495" y="841"/>
                            <a:ext cx="525" cy="2023"/>
                          </a:xfrm>
                          <a:prstGeom prst="rect">
                            <a:avLst/>
                          </a:prstGeom>
                          <a:solidFill>
                            <a:srgbClr val="FFFFFF"/>
                          </a:solidFill>
                          <a:ln>
                            <a:noFill/>
                          </a:ln>
                        </wps:spPr>
                        <wps:txbx>
                          <w:txbxContent>
                            <w:p>
                              <w:pPr>
                                <w:ind w:firstLine="0" w:firstLineChars="0"/>
                                <w:rPr>
                                  <w:rFonts w:ascii="宋体" w:hAnsi="宋体"/>
                                  <w:sz w:val="21"/>
                                  <w:szCs w:val="21"/>
                                </w:rPr>
                              </w:pPr>
                              <w:r>
                                <w:rPr>
                                  <w:rFonts w:hint="eastAsia" w:ascii="宋体" w:hAnsi="宋体"/>
                                  <w:sz w:val="21"/>
                                  <w:szCs w:val="21"/>
                                </w:rPr>
                                <w:t>森林公园</w:t>
                              </w:r>
                            </w:p>
                          </w:txbxContent>
                        </wps:txbx>
                        <wps:bodyPr rot="0" vert="horz" wrap="square" lIns="91440" tIns="45720" rIns="91440" bIns="45720" anchor="t" anchorCtr="0" upright="1">
                          <a:noAutofit/>
                        </wps:bodyPr>
                      </wps:wsp>
                      <wpg:grpSp>
                        <wpg:cNvPr id="13" name="Group 6"/>
                        <wpg:cNvGrpSpPr/>
                        <wpg:grpSpPr>
                          <a:xfrm>
                            <a:off x="1492" y="712"/>
                            <a:ext cx="3676" cy="841"/>
                            <a:chOff x="0" y="0"/>
                            <a:chExt cx="3676" cy="841"/>
                          </a:xfrm>
                        </wpg:grpSpPr>
                        <wps:wsp>
                          <wps:cNvPr id="16" name="AutoShape 7"/>
                          <wps:cNvCnPr>
                            <a:cxnSpLocks noChangeShapeType="1"/>
                          </wps:cNvCnPr>
                          <wps:spPr bwMode="auto">
                            <a:xfrm>
                              <a:off x="0" y="225"/>
                              <a:ext cx="300" cy="0"/>
                            </a:xfrm>
                            <a:prstGeom prst="straightConnector1">
                              <a:avLst/>
                            </a:prstGeom>
                            <a:noFill/>
                            <a:ln w="9525">
                              <a:solidFill>
                                <a:srgbClr val="000000"/>
                              </a:solidFill>
                              <a:round/>
                            </a:ln>
                          </wps:spPr>
                          <wps:bodyPr/>
                        </wps:wsp>
                        <wps:wsp>
                          <wps:cNvPr id="21" name="Text Box 8"/>
                          <wps:cNvSpPr txBox="1">
                            <a:spLocks noChangeArrowheads="1"/>
                          </wps:cNvSpPr>
                          <wps:spPr bwMode="auto">
                            <a:xfrm>
                              <a:off x="300" y="0"/>
                              <a:ext cx="3376" cy="841"/>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森林旅游区</w:t>
                                </w:r>
                              </w:p>
                            </w:txbxContent>
                          </wps:txbx>
                          <wps:bodyPr rot="0" vert="horz" wrap="square" lIns="91440" tIns="45720" rIns="91440" bIns="45720" anchor="t" anchorCtr="0" upright="1">
                            <a:noAutofit/>
                          </wps:bodyPr>
                        </wps:wsp>
                      </wpg:grpSp>
                      <wpg:grpSp>
                        <wpg:cNvPr id="22" name="Group 9"/>
                        <wpg:cNvGrpSpPr/>
                        <wpg:grpSpPr>
                          <a:xfrm>
                            <a:off x="1492" y="1219"/>
                            <a:ext cx="2492" cy="814"/>
                            <a:chOff x="0" y="0"/>
                            <a:chExt cx="2492" cy="814"/>
                          </a:xfrm>
                        </wpg:grpSpPr>
                        <wps:wsp>
                          <wps:cNvPr id="23" name="AutoShape 10"/>
                          <wps:cNvCnPr>
                            <a:cxnSpLocks noChangeShapeType="1"/>
                          </wps:cNvCnPr>
                          <wps:spPr bwMode="auto">
                            <a:xfrm>
                              <a:off x="0" y="225"/>
                              <a:ext cx="300" cy="0"/>
                            </a:xfrm>
                            <a:prstGeom prst="straightConnector1">
                              <a:avLst/>
                            </a:prstGeom>
                            <a:noFill/>
                            <a:ln w="9525">
                              <a:solidFill>
                                <a:srgbClr val="000000"/>
                              </a:solidFill>
                              <a:round/>
                            </a:ln>
                          </wps:spPr>
                          <wps:bodyPr/>
                        </wps:wsp>
                        <wps:wsp>
                          <wps:cNvPr id="24" name="Text Box 11"/>
                          <wps:cNvSpPr txBox="1">
                            <a:spLocks noChangeArrowheads="1"/>
                          </wps:cNvSpPr>
                          <wps:spPr bwMode="auto">
                            <a:xfrm>
                              <a:off x="300" y="0"/>
                              <a:ext cx="2192" cy="814"/>
                            </a:xfrm>
                            <a:prstGeom prst="rect">
                              <a:avLst/>
                            </a:prstGeom>
                            <a:solidFill>
                              <a:srgbClr val="FFFFFF"/>
                            </a:solidFill>
                            <a:ln>
                              <a:noFill/>
                            </a:ln>
                          </wps:spPr>
                          <wps:txbx>
                            <w:txbxContent>
                              <w:p>
                                <w:pPr>
                                  <w:ind w:firstLine="0" w:firstLineChars="0"/>
                                  <w:rPr>
                                    <w:rFonts w:ascii="宋体" w:hAnsi="宋体"/>
                                    <w:sz w:val="21"/>
                                  </w:rPr>
                                </w:pPr>
                                <w:r>
                                  <w:rPr>
                                    <w:rFonts w:hint="eastAsia" w:ascii="宋体" w:hAnsi="宋体"/>
                                    <w:sz w:val="21"/>
                                  </w:rPr>
                                  <w:t>生态保育区</w:t>
                                </w:r>
                              </w:p>
                            </w:txbxContent>
                          </wps:txbx>
                          <wps:bodyPr rot="0" vert="horz" wrap="square" lIns="91440" tIns="45720" rIns="91440" bIns="45720" anchor="t" anchorCtr="0" upright="1">
                            <a:noAutofit/>
                          </wps:bodyPr>
                        </wps:wsp>
                      </wpg:grpSp>
                      <wpg:grpSp>
                        <wpg:cNvPr id="25" name="Group 12"/>
                        <wpg:cNvGrpSpPr/>
                        <wpg:grpSpPr>
                          <a:xfrm>
                            <a:off x="1492" y="1685"/>
                            <a:ext cx="2665" cy="841"/>
                            <a:chOff x="0" y="-2"/>
                            <a:chExt cx="2665" cy="841"/>
                          </a:xfrm>
                        </wpg:grpSpPr>
                        <wps:wsp>
                          <wps:cNvPr id="30" name="AutoShape 13"/>
                          <wps:cNvCnPr>
                            <a:cxnSpLocks noChangeShapeType="1"/>
                          </wps:cNvCnPr>
                          <wps:spPr bwMode="auto">
                            <a:xfrm>
                              <a:off x="0" y="225"/>
                              <a:ext cx="300" cy="0"/>
                            </a:xfrm>
                            <a:prstGeom prst="straightConnector1">
                              <a:avLst/>
                            </a:prstGeom>
                            <a:noFill/>
                            <a:ln w="9525">
                              <a:solidFill>
                                <a:srgbClr val="000000"/>
                              </a:solidFill>
                              <a:round/>
                            </a:ln>
                          </wps:spPr>
                          <wps:bodyPr/>
                        </wps:wsp>
                        <wps:wsp>
                          <wps:cNvPr id="31" name="Text Box 14"/>
                          <wps:cNvSpPr txBox="1">
                            <a:spLocks noChangeArrowheads="1"/>
                          </wps:cNvSpPr>
                          <wps:spPr bwMode="auto">
                            <a:xfrm>
                              <a:off x="300" y="-2"/>
                              <a:ext cx="2365" cy="841"/>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生产经营区</w:t>
                                </w:r>
                              </w:p>
                            </w:txbxContent>
                          </wps:txbx>
                          <wps:bodyPr rot="0" vert="horz" wrap="square" lIns="91440" tIns="45720" rIns="91440" bIns="45720" anchor="t" anchorCtr="0" upright="1">
                            <a:noAutofit/>
                          </wps:bodyPr>
                        </wps:wsp>
                      </wpg:grpSp>
                      <wpg:grpSp>
                        <wpg:cNvPr id="37" name="Group 15"/>
                        <wpg:cNvGrpSpPr/>
                        <wpg:grpSpPr>
                          <a:xfrm>
                            <a:off x="1492" y="2156"/>
                            <a:ext cx="2774" cy="841"/>
                            <a:chOff x="0" y="-2"/>
                            <a:chExt cx="2550" cy="841"/>
                          </a:xfrm>
                        </wpg:grpSpPr>
                        <wps:wsp>
                          <wps:cNvPr id="38" name="AutoShape 16"/>
                          <wps:cNvCnPr>
                            <a:cxnSpLocks noChangeShapeType="1"/>
                          </wps:cNvCnPr>
                          <wps:spPr bwMode="auto">
                            <a:xfrm>
                              <a:off x="0" y="225"/>
                              <a:ext cx="300" cy="0"/>
                            </a:xfrm>
                            <a:prstGeom prst="straightConnector1">
                              <a:avLst/>
                            </a:prstGeom>
                            <a:noFill/>
                            <a:ln w="9525">
                              <a:solidFill>
                                <a:srgbClr val="000000"/>
                              </a:solidFill>
                              <a:round/>
                            </a:ln>
                          </wps:spPr>
                          <wps:bodyPr/>
                        </wps:wsp>
                        <wps:wsp>
                          <wps:cNvPr id="39" name="Text Box 17"/>
                          <wps:cNvSpPr txBox="1">
                            <a:spLocks noChangeArrowheads="1"/>
                          </wps:cNvSpPr>
                          <wps:spPr bwMode="auto">
                            <a:xfrm>
                              <a:off x="300" y="-2"/>
                              <a:ext cx="2250" cy="841"/>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管理区</w:t>
                                </w:r>
                              </w:p>
                            </w:txbxContent>
                          </wps:txbx>
                          <wps:bodyPr rot="0" vert="horz" wrap="square" lIns="91440" tIns="45720" rIns="91440" bIns="45720" anchor="t" anchorCtr="0" upright="1">
                            <a:noAutofit/>
                          </wps:bodyPr>
                        </wps:wsp>
                      </wpg:grpSp>
                      <wps:wsp>
                        <wps:cNvPr id="40" name="AutoShape 18"/>
                        <wps:cNvCnPr>
                          <a:cxnSpLocks noChangeShapeType="1"/>
                        </wps:cNvCnPr>
                        <wps:spPr bwMode="auto">
                          <a:xfrm>
                            <a:off x="3112" y="922"/>
                            <a:ext cx="465" cy="0"/>
                          </a:xfrm>
                          <a:prstGeom prst="straightConnector1">
                            <a:avLst/>
                          </a:prstGeom>
                          <a:noFill/>
                          <a:ln w="9525">
                            <a:solidFill>
                              <a:srgbClr val="000000"/>
                            </a:solidFill>
                            <a:round/>
                          </a:ln>
                        </wps:spPr>
                        <wps:bodyPr/>
                      </wps:wsp>
                      <wps:wsp>
                        <wps:cNvPr id="41" name="AutoShape 19"/>
                        <wps:cNvCnPr>
                          <a:cxnSpLocks noChangeShapeType="1"/>
                        </wps:cNvCnPr>
                        <wps:spPr bwMode="auto">
                          <a:xfrm>
                            <a:off x="3577" y="225"/>
                            <a:ext cx="1" cy="1353"/>
                          </a:xfrm>
                          <a:prstGeom prst="straightConnector1">
                            <a:avLst/>
                          </a:prstGeom>
                          <a:noFill/>
                          <a:ln w="9525">
                            <a:solidFill>
                              <a:srgbClr val="000000"/>
                            </a:solidFill>
                            <a:round/>
                          </a:ln>
                        </wps:spPr>
                        <wps:bodyPr/>
                      </wps:wsp>
                      <wpg:grpSp>
                        <wpg:cNvPr id="42" name="Group 20"/>
                        <wpg:cNvGrpSpPr/>
                        <wpg:grpSpPr>
                          <a:xfrm>
                            <a:off x="3578" y="0"/>
                            <a:ext cx="1495" cy="436"/>
                            <a:chOff x="0" y="0"/>
                            <a:chExt cx="1495" cy="436"/>
                          </a:xfrm>
                        </wpg:grpSpPr>
                        <wps:wsp>
                          <wps:cNvPr id="43" name="AutoShape 21"/>
                          <wps:cNvCnPr>
                            <a:cxnSpLocks noChangeShapeType="1"/>
                          </wps:cNvCnPr>
                          <wps:spPr bwMode="auto">
                            <a:xfrm>
                              <a:off x="0" y="225"/>
                              <a:ext cx="300" cy="0"/>
                            </a:xfrm>
                            <a:prstGeom prst="straightConnector1">
                              <a:avLst/>
                            </a:prstGeom>
                            <a:noFill/>
                            <a:ln w="9525">
                              <a:solidFill>
                                <a:srgbClr val="000000"/>
                              </a:solidFill>
                              <a:round/>
                            </a:ln>
                          </wps:spPr>
                          <wps:bodyPr/>
                        </wps:wsp>
                        <wps:wsp>
                          <wps:cNvPr id="44" name="Text Box 22"/>
                          <wps:cNvSpPr txBox="1">
                            <a:spLocks noChangeArrowheads="1"/>
                          </wps:cNvSpPr>
                          <wps:spPr bwMode="auto">
                            <a:xfrm>
                              <a:off x="298" y="0"/>
                              <a:ext cx="1197" cy="436"/>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游览区</w:t>
                                </w:r>
                              </w:p>
                            </w:txbxContent>
                          </wps:txbx>
                          <wps:bodyPr rot="0" vert="horz" wrap="square" lIns="91440" tIns="45720" rIns="91440" bIns="45720" anchor="t" anchorCtr="0" upright="1">
                            <a:noAutofit/>
                          </wps:bodyPr>
                        </wps:wsp>
                      </wpg:grpSp>
                      <wpg:grpSp>
                        <wpg:cNvPr id="45" name="Group 23"/>
                        <wpg:cNvGrpSpPr/>
                        <wpg:grpSpPr>
                          <a:xfrm>
                            <a:off x="3577" y="346"/>
                            <a:ext cx="1426" cy="495"/>
                            <a:chOff x="0" y="0"/>
                            <a:chExt cx="1426" cy="495"/>
                          </a:xfrm>
                        </wpg:grpSpPr>
                        <wps:wsp>
                          <wps:cNvPr id="46" name="AutoShape 24"/>
                          <wps:cNvCnPr>
                            <a:cxnSpLocks noChangeShapeType="1"/>
                          </wps:cNvCnPr>
                          <wps:spPr bwMode="auto">
                            <a:xfrm>
                              <a:off x="0" y="225"/>
                              <a:ext cx="300" cy="0"/>
                            </a:xfrm>
                            <a:prstGeom prst="straightConnector1">
                              <a:avLst/>
                            </a:prstGeom>
                            <a:noFill/>
                            <a:ln w="9525">
                              <a:solidFill>
                                <a:srgbClr val="000000"/>
                              </a:solidFill>
                              <a:round/>
                            </a:ln>
                          </wps:spPr>
                          <wps:bodyPr/>
                        </wps:wsp>
                        <wps:wsp>
                          <wps:cNvPr id="47" name="Text Box 25"/>
                          <wps:cNvSpPr txBox="1">
                            <a:spLocks noChangeArrowheads="1"/>
                          </wps:cNvSpPr>
                          <wps:spPr bwMode="auto">
                            <a:xfrm>
                              <a:off x="299" y="0"/>
                              <a:ext cx="1127" cy="495"/>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游乐区</w:t>
                                </w:r>
                              </w:p>
                            </w:txbxContent>
                          </wps:txbx>
                          <wps:bodyPr rot="0" vert="horz" wrap="square" lIns="91440" tIns="45720" rIns="91440" bIns="45720" anchor="t" anchorCtr="0" upright="1">
                            <a:noAutofit/>
                          </wps:bodyPr>
                        </wps:wsp>
                      </wpg:grpSp>
                      <wpg:grpSp>
                        <wpg:cNvPr id="48" name="Group 26"/>
                        <wpg:cNvGrpSpPr/>
                        <wpg:grpSpPr>
                          <a:xfrm>
                            <a:off x="3577" y="693"/>
                            <a:ext cx="1426" cy="494"/>
                            <a:chOff x="0" y="0"/>
                            <a:chExt cx="1426" cy="494"/>
                          </a:xfrm>
                        </wpg:grpSpPr>
                        <wps:wsp>
                          <wps:cNvPr id="49" name="AutoShape 27"/>
                          <wps:cNvCnPr>
                            <a:cxnSpLocks noChangeShapeType="1"/>
                          </wps:cNvCnPr>
                          <wps:spPr bwMode="auto">
                            <a:xfrm>
                              <a:off x="0" y="225"/>
                              <a:ext cx="300" cy="0"/>
                            </a:xfrm>
                            <a:prstGeom prst="straightConnector1">
                              <a:avLst/>
                            </a:prstGeom>
                            <a:noFill/>
                            <a:ln w="9525">
                              <a:solidFill>
                                <a:srgbClr val="000000"/>
                              </a:solidFill>
                              <a:round/>
                            </a:ln>
                          </wps:spPr>
                          <wps:bodyPr/>
                        </wps:wsp>
                        <wps:wsp>
                          <wps:cNvPr id="50" name="Text Box 28"/>
                          <wps:cNvSpPr txBox="1">
                            <a:spLocks noChangeArrowheads="1"/>
                          </wps:cNvSpPr>
                          <wps:spPr bwMode="auto">
                            <a:xfrm>
                              <a:off x="299" y="0"/>
                              <a:ext cx="1127" cy="494"/>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野营区</w:t>
                                </w:r>
                              </w:p>
                            </w:txbxContent>
                          </wps:txbx>
                          <wps:bodyPr rot="0" vert="horz" wrap="square" lIns="91440" tIns="45720" rIns="91440" bIns="45720" anchor="t" anchorCtr="0" upright="1">
                            <a:noAutofit/>
                          </wps:bodyPr>
                        </wps:wsp>
                      </wpg:grpSp>
                      <wpg:grpSp>
                        <wpg:cNvPr id="51" name="Group 29"/>
                        <wpg:cNvGrpSpPr/>
                        <wpg:grpSpPr>
                          <a:xfrm>
                            <a:off x="3577" y="1024"/>
                            <a:ext cx="1774" cy="420"/>
                            <a:chOff x="0" y="0"/>
                            <a:chExt cx="1774" cy="420"/>
                          </a:xfrm>
                        </wpg:grpSpPr>
                        <wps:wsp>
                          <wps:cNvPr id="52" name="AutoShape 30"/>
                          <wps:cNvCnPr>
                            <a:cxnSpLocks noChangeShapeType="1"/>
                          </wps:cNvCnPr>
                          <wps:spPr bwMode="auto">
                            <a:xfrm>
                              <a:off x="0" y="225"/>
                              <a:ext cx="300" cy="0"/>
                            </a:xfrm>
                            <a:prstGeom prst="straightConnector1">
                              <a:avLst/>
                            </a:prstGeom>
                            <a:noFill/>
                            <a:ln w="9525">
                              <a:solidFill>
                                <a:srgbClr val="000000"/>
                              </a:solidFill>
                              <a:round/>
                            </a:ln>
                          </wps:spPr>
                          <wps:bodyPr/>
                        </wps:wsp>
                        <wps:wsp>
                          <wps:cNvPr id="53" name="Text Box 31"/>
                          <wps:cNvSpPr txBox="1">
                            <a:spLocks noChangeArrowheads="1"/>
                          </wps:cNvSpPr>
                          <wps:spPr bwMode="auto">
                            <a:xfrm>
                              <a:off x="299" y="0"/>
                              <a:ext cx="1475" cy="420"/>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休疗养区</w:t>
                                </w:r>
                              </w:p>
                            </w:txbxContent>
                          </wps:txbx>
                          <wps:bodyPr rot="0" vert="horz" wrap="square" lIns="91440" tIns="45720" rIns="91440" bIns="45720" anchor="t" anchorCtr="0" upright="1">
                            <a:noAutofit/>
                          </wps:bodyPr>
                        </wps:wsp>
                      </wpg:grpSp>
                      <wpg:grpSp>
                        <wpg:cNvPr id="54" name="Group 32"/>
                        <wpg:cNvGrpSpPr/>
                        <wpg:grpSpPr>
                          <a:xfrm>
                            <a:off x="3577" y="1353"/>
                            <a:ext cx="1922" cy="493"/>
                            <a:chOff x="0" y="0"/>
                            <a:chExt cx="1922" cy="493"/>
                          </a:xfrm>
                        </wpg:grpSpPr>
                        <wps:wsp>
                          <wps:cNvPr id="55" name="AutoShape 33"/>
                          <wps:cNvCnPr>
                            <a:cxnSpLocks noChangeShapeType="1"/>
                          </wps:cNvCnPr>
                          <wps:spPr bwMode="auto">
                            <a:xfrm>
                              <a:off x="0" y="225"/>
                              <a:ext cx="300" cy="0"/>
                            </a:xfrm>
                            <a:prstGeom prst="straightConnector1">
                              <a:avLst/>
                            </a:prstGeom>
                            <a:noFill/>
                            <a:ln w="9525">
                              <a:solidFill>
                                <a:srgbClr val="000000"/>
                              </a:solidFill>
                              <a:round/>
                            </a:ln>
                          </wps:spPr>
                          <wps:bodyPr/>
                        </wps:wsp>
                        <wps:wsp>
                          <wps:cNvPr id="56" name="Text Box 34"/>
                          <wps:cNvSpPr txBox="1">
                            <a:spLocks noChangeArrowheads="1"/>
                          </wps:cNvSpPr>
                          <wps:spPr bwMode="auto">
                            <a:xfrm>
                              <a:off x="297" y="0"/>
                              <a:ext cx="1625" cy="493"/>
                            </a:xfrm>
                            <a:prstGeom prst="rect">
                              <a:avLst/>
                            </a:prstGeom>
                            <a:solidFill>
                              <a:srgbClr val="FFFFFF"/>
                            </a:solidFill>
                            <a:ln>
                              <a:noFill/>
                            </a:ln>
                          </wps:spPr>
                          <wps:txbx>
                            <w:txbxContent>
                              <w:p>
                                <w:pPr>
                                  <w:ind w:firstLine="0" w:firstLineChars="0"/>
                                  <w:rPr>
                                    <w:rFonts w:ascii="宋体" w:hAnsi="宋体"/>
                                    <w:sz w:val="22"/>
                                  </w:rPr>
                                </w:pPr>
                                <w:r>
                                  <w:rPr>
                                    <w:rFonts w:hint="eastAsia" w:ascii="宋体" w:hAnsi="宋体"/>
                                    <w:sz w:val="22"/>
                                  </w:rPr>
                                  <w:t>接待服务区</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60.4pt;margin-top:50.3pt;height:138.15pt;width:235.6pt;z-index:251661312;mso-width-relative:page;mso-height-relative:page;" coordorigin="495,0" coordsize="5004,2997" o:gfxdata="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TJ9K79oAAAALAQAADwAAAAAAAAABACAAAAAiAAAAZHJzL2Rv&#10;d25yZXYueG1sUEsBAhQAFAAAAAgAh07iQIcQweisBgAAID0AAA4AAAAAAAAAAQAgAAAAKQEAAGRy&#10;cy9lMm9Eb2MueG1sUEsFBgAAAAAGAAYAWQEAAEcKAAAAAA==&#10;">
                <o:lock v:ext="edit" aspectratio="f"/>
                <v:shape id="AutoShape 3" o:spid="_x0000_s1026" o:spt="32" type="#_x0000_t32" style="position:absolute;left:1492;top:937;flip:y;height:1446;width:0;" filled="f" stroked="t" coordsize="21600,21600" o:gfxdata="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GvJ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4" o:spid="_x0000_s1026" o:spt="32" type="#_x0000_t32" style="position:absolute;left:1122;top:1713;height:0;width:370;" filled="f" stroked="t" coordsize="21600,21600" o:gfxdata="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NZ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5" o:spid="_x0000_s1026" o:spt="202" type="#_x0000_t202" style="position:absolute;left:495;top:841;height:2023;width:525;" fillcolor="#FFFFFF" filled="t" stroked="f" coordsize="21600,2160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ind w:firstLine="0" w:firstLineChars="0"/>
                          <w:rPr>
                            <w:rFonts w:ascii="宋体" w:hAnsi="宋体"/>
                            <w:sz w:val="21"/>
                            <w:szCs w:val="21"/>
                          </w:rPr>
                        </w:pPr>
                        <w:r>
                          <w:rPr>
                            <w:rFonts w:hint="eastAsia" w:ascii="宋体" w:hAnsi="宋体"/>
                            <w:sz w:val="21"/>
                            <w:szCs w:val="21"/>
                          </w:rPr>
                          <w:t>森林公园</w:t>
                        </w:r>
                      </w:p>
                    </w:txbxContent>
                  </v:textbox>
                </v:shape>
                <v:group id="Group 6" o:spid="_x0000_s1026" o:spt="203" style="position:absolute;left:1492;top:712;height:841;width:3676;" coordsize="3676,841"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AutoShape 7" o:spid="_x0000_s1026" o:spt="32" type="#_x0000_t32" style="position:absolute;left:0;top:225;height:0;width:300;"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Text Box 8" o:spid="_x0000_s1026" o:spt="202" type="#_x0000_t202" style="position:absolute;left:300;top:0;height:841;width:3376;" fillcolor="#FFFFFF" filled="t" stroked="f" coordsize="21600,21600" o:gfxdata="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3LHV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森林旅游区</w:t>
                          </w:r>
                        </w:p>
                      </w:txbxContent>
                    </v:textbox>
                  </v:shape>
                </v:group>
                <v:group id="Group 9" o:spid="_x0000_s1026" o:spt="203" style="position:absolute;left:1492;top:1219;height:814;width:2492;" coordsize="2492,814"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AutoShape 10" o:spid="_x0000_s1026" o:spt="32" type="#_x0000_t32" style="position:absolute;left:0;top:225;height:0;width:300;" filled="f" stroked="t" coordsize="21600,21600" o:gfxdata="UEsDBAoAAAAAAIdO4kAAAAAAAAAAAAAAAAAEAAAAZHJzL1BLAwQUAAAACACHTuJAcvaCqr0AAADb&#10;AAAADwAAAGRycy9kb3ducmV2LnhtbEWPQWvCQBSE7wX/w/IEL0V3k1L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oKq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11" o:spid="_x0000_s1026" o:spt="202" type="#_x0000_t202" style="position:absolute;left:300;top:0;height:814;width:2192;" fillcolor="#FFFFFF" filled="t" stroked="f" coordsize="21600,21600" o:gfxdata="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Vkz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rFonts w:ascii="宋体" w:hAnsi="宋体"/>
                              <w:sz w:val="21"/>
                            </w:rPr>
                          </w:pPr>
                          <w:r>
                            <w:rPr>
                              <w:rFonts w:hint="eastAsia" w:ascii="宋体" w:hAnsi="宋体"/>
                              <w:sz w:val="21"/>
                            </w:rPr>
                            <w:t>生态保育区</w:t>
                          </w:r>
                        </w:p>
                      </w:txbxContent>
                    </v:textbox>
                  </v:shape>
                </v:group>
                <v:group id="Group 12" o:spid="_x0000_s1026" o:spt="203" style="position:absolute;left:1492;top:1685;height:841;width:2665;" coordorigin="0,-2" coordsize="2665,84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AutoShape 13" o:spid="_x0000_s1026" o:spt="32" type="#_x0000_t32" style="position:absolute;left:0;top:225;height:0;width:300;" filled="f" stroked="t" coordsize="21600,21600" o:gfxdata="UEsDBAoAAAAAAIdO4kAAAAAAAAAAAAAAAAAEAAAAZHJzL1BLAwQUAAAACACHTuJAB/2KALoAAADb&#10;AAAADwAAAGRycy9kb3ducmV2LnhtbEVPz2vCMBS+D/wfwhN2GZpU2d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o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Text Box 14" o:spid="_x0000_s1026" o:spt="202" type="#_x0000_t202" style="position:absolute;left:300;top:-2;height:841;width:2365;" fillcolor="#FFFFFF" filled="t" stroked="f" coordsize="21600,21600" o:gfxdata="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1G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生产经营区</w:t>
                          </w:r>
                        </w:p>
                      </w:txbxContent>
                    </v:textbox>
                  </v:shape>
                </v:group>
                <v:group id="Group 15" o:spid="_x0000_s1026" o:spt="203" style="position:absolute;left:1492;top:2156;height:841;width:2774;" coordorigin="0,-2" coordsize="2550,841"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AutoShape 16" o:spid="_x0000_s1026" o:spt="32" type="#_x0000_t32" style="position:absolute;left:0;top:225;height:0;width:300;" filled="f" stroked="t" coordsize="21600,2160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Text Box 17" o:spid="_x0000_s1026" o:spt="202" type="#_x0000_t202" style="position:absolute;left:300;top:-2;height:841;width:2250;" fillcolor="#FFFFFF" filled="t" stroked="f" coordsize="21600,21600" o:gfxdata="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1dj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管理区</w:t>
                          </w:r>
                        </w:p>
                      </w:txbxContent>
                    </v:textbox>
                  </v:shape>
                </v:group>
                <v:shape id="AutoShape 18" o:spid="_x0000_s1026" o:spt="32" type="#_x0000_t32" style="position:absolute;left:3112;top:922;height:0;width:465;" filled="f" stroked="t" coordsize="21600,21600" o:gfxdata="UEsDBAoAAAAAAIdO4kAAAAAAAAAAAAAAAAAEAAAAZHJzL1BLAwQUAAAACACHTuJAX/v5fboAAADb&#10;AAAADwAAAGRycy9kb3ducmV2LnhtbEVPz2vCMBS+D/wfwhN2GZpU3N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9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9" o:spid="_x0000_s1026" o:spt="32" type="#_x0000_t32" style="position:absolute;left:3577;top:225;height:1353;width:1;" filled="f" stroked="t" coordsize="21600,21600" o:gfxdata="UEsDBAoAAAAAAIdO4kAAAAAAAAAAAAAAAAAEAAAAZHJzL1BLAwQUAAAACACHTuJAMLdc5rwAAADb&#10;AAAADwAAAGRycy9kb3ducmV2LnhtbEWPQYvCMBSE78L+h/AW9iKaVFS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3XO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Group 20" o:spid="_x0000_s1026" o:spt="203" style="position:absolute;left:3578;top:0;height:436;width:1495;" coordsize="1495,436"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AutoShape 21" o:spid="_x0000_s1026" o:spt="32" type="#_x0000_t32" style="position:absolute;left:0;top:225;height:0;width:300;" filled="f" stroked="t" coordsize="21600,21600" o:gfxdata="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Wc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22" o:spid="_x0000_s1026" o:spt="202" type="#_x0000_t202" style="position:absolute;left:298;top:0;height:436;width:1197;"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游览区</w:t>
                          </w:r>
                        </w:p>
                      </w:txbxContent>
                    </v:textbox>
                  </v:shape>
                </v:group>
                <v:group id="Group 23" o:spid="_x0000_s1026" o:spt="203" style="position:absolute;left:3577;top:346;height:495;width:1426;" coordsize="1426,495"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AutoShape 24" o:spid="_x0000_s1026" o:spt="32" type="#_x0000_t32" style="position:absolute;left:0;top:225;height:0;width:300;" filled="f" stroked="t" coordsize="21600,21600" o:gfxdata="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S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25" o:spid="_x0000_s1026" o:spt="202" type="#_x0000_t202" style="position:absolute;left:299;top:0;height:495;width:1127;" fillcolor="#FFFFFF" filled="t" stroked="f" coordsize="21600,21600" o:gfxdata="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IHxu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游乐区</w:t>
                          </w:r>
                        </w:p>
                      </w:txbxContent>
                    </v:textbox>
                  </v:shape>
                </v:group>
                <v:group id="Group 26" o:spid="_x0000_s1026" o:spt="203" style="position:absolute;left:3577;top:693;height:494;width:1426;" coordsize="1426,494"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AutoShape 27" o:spid="_x0000_s1026" o:spt="32" type="#_x0000_t32" style="position:absolute;left:0;top:225;height:0;width:300;" filled="f" stroked="t" coordsize="21600,21600" o:gfxdata="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O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Text Box 28" o:spid="_x0000_s1026" o:spt="202" type="#_x0000_t202" style="position:absolute;left:299;top:0;height:494;width:1127;" fillcolor="#FFFFFF" filled="t" stroked="f" coordsize="21600,21600" o:gfxdata="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Q4EbK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野营区</w:t>
                          </w:r>
                        </w:p>
                      </w:txbxContent>
                    </v:textbox>
                  </v:shape>
                </v:group>
                <v:group id="Group 29" o:spid="_x0000_s1026" o:spt="203" style="position:absolute;left:3577;top:1024;height:420;width:1774;" coordsize="1774,42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AutoShape 30" o:spid="_x0000_s1026" o:spt="32" type="#_x0000_t32" style="position:absolute;left:0;top:225;height:0;width:300;" filled="f" stroked="t" coordsize="21600,21600" o:gfxdata="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FR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31" o:spid="_x0000_s1026" o:spt="202" type="#_x0000_t202" style="position:absolute;left:299;top:0;height:420;width:1475;" fillcolor="#FFFFFF" filled="t" stroked="f" coordsize="21600,21600" o:gfxdata="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OqPx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休疗养区</w:t>
                          </w:r>
                        </w:p>
                      </w:txbxContent>
                    </v:textbox>
                  </v:shape>
                </v:group>
                <v:group id="Group 32" o:spid="_x0000_s1026" o:spt="203" style="position:absolute;left:3577;top:1353;height:493;width:1922;" coordsize="1922,49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AutoShape 33" o:spid="_x0000_s1026" o:spt="32" type="#_x0000_t32" style="position:absolute;left:0;top:225;height:0;width:300;" filled="f" stroked="t" coordsize="21600,21600" o:gfxdata="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cw4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34" o:spid="_x0000_s1026" o:spt="202" type="#_x0000_t202" style="position:absolute;left:297;top:0;height:493;width:1625;" fillcolor="#FFFFFF" filled="t" stroked="f" coordsize="21600,21600" o:gfxdata="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dLF2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rFonts w:ascii="宋体" w:hAnsi="宋体"/>
                              <w:sz w:val="22"/>
                            </w:rPr>
                          </w:pPr>
                          <w:r>
                            <w:rPr>
                              <w:rFonts w:hint="eastAsia" w:ascii="宋体" w:hAnsi="宋体"/>
                              <w:sz w:val="22"/>
                            </w:rPr>
                            <w:t>接待服务区</w:t>
                          </w:r>
                        </w:p>
                      </w:txbxContent>
                    </v:textbox>
                  </v:shape>
                </v:group>
              </v:group>
            </w:pict>
          </mc:Fallback>
        </mc:AlternateContent>
      </w:r>
      <w:r>
        <w:rPr>
          <w:rFonts w:hint="eastAsia" w:eastAsia="宋体" w:cs="Times New Roman"/>
          <w:color w:val="auto"/>
          <w:sz w:val="28"/>
          <w:szCs w:val="28"/>
        </w:rPr>
        <w:t>依据《河南省级森林公园总体规划规范》要求，森林公园的区划系统如下图所示：</w:t>
      </w:r>
    </w:p>
    <w:p>
      <w:pPr>
        <w:ind w:firstLine="560"/>
      </w:pPr>
    </w:p>
    <w:p>
      <w:pPr>
        <w:ind w:firstLine="560"/>
      </w:pPr>
    </w:p>
    <w:p>
      <w:pPr>
        <w:ind w:firstLine="560"/>
      </w:pPr>
    </w:p>
    <w:p>
      <w:pPr>
        <w:ind w:firstLine="560"/>
      </w:pPr>
    </w:p>
    <w:p>
      <w:pPr>
        <w:ind w:firstLine="560"/>
      </w:pPr>
    </w:p>
    <w:p>
      <w:pPr>
        <w:pStyle w:val="4"/>
        <w:rPr>
          <w:rFonts w:hint="eastAsia" w:ascii="宋体" w:hAnsi="宋体" w:eastAsia="宋体" w:cs="宋体"/>
          <w:lang w:val="en-US" w:eastAsia="zh-CN"/>
        </w:rPr>
      </w:pPr>
      <w:r>
        <w:rPr>
          <w:rFonts w:hint="eastAsia" w:ascii="宋体" w:hAnsi="宋体" w:eastAsia="宋体" w:cs="宋体"/>
          <w:lang w:val="en-US" w:eastAsia="zh-CN"/>
        </w:rPr>
        <w:t>二、功能分区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（一）布局原则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根据公园的性质、资源特点和管理要求，对公园地域空间进行总体的布局区划，以满足森林公园多种功能需要，在区划中主要遵循以下原则：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1.区划系统需界线明显，功能分明，便于操作和辨识。</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2.有利于管理。</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3.有利于不同游客层次和不同旅游需求的满足。</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4.有利于保护和改善生态环境，妥善处理开发利用与保护</w:t>
      </w:r>
      <w:r>
        <w:rPr>
          <w:rFonts w:hint="eastAsia" w:eastAsia="宋体" w:cs="Times New Roman"/>
          <w:color w:val="auto"/>
          <w:sz w:val="28"/>
          <w:szCs w:val="28"/>
          <w:lang w:eastAsia="zh-CN"/>
        </w:rPr>
        <w:t>、</w:t>
      </w:r>
      <w:r>
        <w:rPr>
          <w:rFonts w:hint="eastAsia" w:eastAsia="宋体" w:cs="Times New Roman"/>
          <w:color w:val="auto"/>
          <w:sz w:val="28"/>
          <w:szCs w:val="28"/>
        </w:rPr>
        <w:t>游览与生产</w:t>
      </w:r>
      <w:r>
        <w:rPr>
          <w:rFonts w:hint="eastAsia" w:eastAsia="宋体" w:cs="Times New Roman"/>
          <w:color w:val="auto"/>
          <w:sz w:val="28"/>
          <w:szCs w:val="28"/>
          <w:lang w:eastAsia="zh-CN"/>
        </w:rPr>
        <w:t>、</w:t>
      </w:r>
      <w:r>
        <w:rPr>
          <w:rFonts w:hint="eastAsia" w:eastAsia="宋体" w:cs="Times New Roman"/>
          <w:color w:val="auto"/>
          <w:sz w:val="28"/>
          <w:szCs w:val="28"/>
        </w:rPr>
        <w:t>服务及生活等诸多方面之间的关系。</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5.</w:t>
      </w:r>
      <w:r>
        <w:rPr>
          <w:rFonts w:hint="eastAsia" w:eastAsia="宋体" w:cs="Times New Roman"/>
          <w:color w:val="auto"/>
          <w:sz w:val="28"/>
          <w:szCs w:val="28"/>
          <w:lang w:val="en-US" w:eastAsia="zh-CN"/>
        </w:rPr>
        <w:t>有</w:t>
      </w:r>
      <w:r>
        <w:rPr>
          <w:rFonts w:hint="eastAsia" w:eastAsia="宋体" w:cs="Times New Roman"/>
          <w:color w:val="auto"/>
          <w:sz w:val="28"/>
          <w:szCs w:val="28"/>
        </w:rPr>
        <w:t>利于合理组织浏览线路和各功能区相互联系呼应，又各自突出其特点。</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6.要有</w:t>
      </w:r>
      <w:r>
        <w:rPr>
          <w:rFonts w:hint="eastAsia" w:eastAsia="宋体" w:cs="Times New Roman"/>
          <w:color w:val="auto"/>
          <w:sz w:val="28"/>
          <w:szCs w:val="28"/>
          <w:highlight w:val="none"/>
          <w:lang w:val="en-US" w:eastAsia="zh-CN"/>
        </w:rPr>
        <w:t>远见</w:t>
      </w:r>
      <w:r>
        <w:rPr>
          <w:rFonts w:hint="eastAsia" w:eastAsia="宋体" w:cs="Times New Roman"/>
          <w:color w:val="auto"/>
          <w:sz w:val="28"/>
          <w:szCs w:val="28"/>
          <w:highlight w:val="none"/>
        </w:rPr>
        <w:t>，</w:t>
      </w:r>
      <w:r>
        <w:rPr>
          <w:rFonts w:hint="eastAsia" w:eastAsia="宋体" w:cs="Times New Roman"/>
          <w:color w:val="auto"/>
          <w:sz w:val="28"/>
          <w:szCs w:val="28"/>
        </w:rPr>
        <w:t>为今后发展留有余地。</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（二）功能分区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依据森林公园的性质和功能发展需求，并参考森林公园的区划系统，进行功能分区。包括</w:t>
      </w:r>
      <w:r>
        <w:rPr>
          <w:rFonts w:hint="eastAsia" w:eastAsia="宋体" w:cs="Times New Roman"/>
          <w:color w:val="auto"/>
          <w:sz w:val="28"/>
          <w:szCs w:val="28"/>
          <w:lang w:val="en-US" w:eastAsia="zh-CN"/>
        </w:rPr>
        <w:t>森</w:t>
      </w:r>
      <w:r>
        <w:rPr>
          <w:rFonts w:hint="eastAsia" w:eastAsia="宋体" w:cs="Times New Roman"/>
          <w:color w:val="auto"/>
          <w:sz w:val="28"/>
          <w:szCs w:val="28"/>
        </w:rPr>
        <w:t>林旅游区、生态保育区、生产经营区以及管理</w:t>
      </w:r>
      <w:r>
        <w:rPr>
          <w:rFonts w:hint="eastAsia" w:eastAsia="宋体" w:cs="Times New Roman"/>
          <w:color w:val="auto"/>
          <w:sz w:val="28"/>
          <w:szCs w:val="28"/>
          <w:lang w:val="en-US" w:eastAsia="zh-CN"/>
        </w:rPr>
        <w:t>服务</w:t>
      </w:r>
      <w:r>
        <w:rPr>
          <w:rFonts w:hint="eastAsia" w:eastAsia="宋体" w:cs="Times New Roman"/>
          <w:color w:val="auto"/>
          <w:sz w:val="28"/>
          <w:szCs w:val="28"/>
        </w:rPr>
        <w:t>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其中森林旅游区包括游览区、游乐区、野营区、休疗养区、接待服务区等，为公园的主体部分，面积169.23公顷；生态保育区主要包括公园西南角的三块区域，面积5.48公顷；生产经营区主要是公园内的果林生长区，面积3.22公顷；管理服务区包括公园南、北及西侧的入口广场处，面积合计0.60公顷。</w:t>
      </w: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560" w:firstLineChars="0"/>
        <w:jc w:val="both"/>
        <w:rPr>
          <w:rFonts w:hint="eastAsia" w:eastAsia="宋体" w:cs="Times New Roman"/>
          <w:color w:val="auto"/>
          <w:sz w:val="28"/>
          <w:szCs w:val="28"/>
        </w:rPr>
      </w:pPr>
    </w:p>
    <w:p>
      <w:pPr>
        <w:widowControl/>
        <w:adjustRightInd/>
        <w:snapToGrid/>
        <w:spacing w:line="360" w:lineRule="auto"/>
        <w:ind w:firstLine="480" w:firstLineChars="0"/>
        <w:jc w:val="center"/>
        <w:rPr>
          <w:rFonts w:hint="eastAsia" w:ascii="黑体" w:hAnsi="黑体" w:eastAsia="黑体" w:cs="Times New Roman"/>
          <w:color w:val="auto"/>
          <w:sz w:val="24"/>
          <w:lang w:val="en-US" w:eastAsia="zh-CN"/>
        </w:rPr>
      </w:pPr>
      <w:r>
        <w:rPr>
          <w:rFonts w:hint="eastAsia" w:ascii="黑体" w:hAnsi="黑体" w:eastAsia="黑体" w:cs="Times New Roman"/>
          <w:color w:val="auto"/>
          <w:sz w:val="24"/>
          <w:lang w:val="en-US" w:eastAsia="zh-CN"/>
        </w:rPr>
        <w:t>表4-1  森林公园功能分区一览表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515"/>
        <w:gridCol w:w="1560"/>
        <w:gridCol w:w="1530"/>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71" w:type="dxa"/>
            <w:vAlign w:val="center"/>
          </w:tcPr>
          <w:p>
            <w:pPr>
              <w:widowControl/>
              <w:adjustRightInd/>
              <w:snapToGrid/>
              <w:spacing w:line="240" w:lineRule="auto"/>
              <w:ind w:firstLine="0" w:firstLineChars="0"/>
              <w:jc w:val="center"/>
              <w:rPr>
                <w:rFonts w:hint="default" w:eastAsia="宋体" w:cs="Times New Roman"/>
                <w:b/>
                <w:color w:val="auto"/>
                <w:sz w:val="21"/>
                <w:szCs w:val="21"/>
                <w:lang w:val="en-US" w:eastAsia="zh-CN"/>
              </w:rPr>
            </w:pPr>
            <w:r>
              <w:rPr>
                <w:rFonts w:hint="eastAsia" w:eastAsia="宋体" w:cs="Times New Roman"/>
                <w:b/>
                <w:color w:val="auto"/>
                <w:sz w:val="21"/>
                <w:szCs w:val="21"/>
                <w:lang w:val="en-US" w:eastAsia="zh-CN"/>
              </w:rPr>
              <w:t>序号</w:t>
            </w:r>
          </w:p>
        </w:tc>
        <w:tc>
          <w:tcPr>
            <w:tcW w:w="1515" w:type="dxa"/>
            <w:vAlign w:val="center"/>
          </w:tcPr>
          <w:p>
            <w:pPr>
              <w:widowControl/>
              <w:adjustRightInd/>
              <w:snapToGrid/>
              <w:spacing w:line="240" w:lineRule="auto"/>
              <w:ind w:firstLine="0" w:firstLineChars="0"/>
              <w:jc w:val="center"/>
              <w:rPr>
                <w:rFonts w:hint="default" w:eastAsia="宋体" w:cs="Times New Roman"/>
                <w:b/>
                <w:color w:val="auto"/>
                <w:sz w:val="21"/>
                <w:szCs w:val="21"/>
                <w:lang w:val="en-US" w:eastAsia="zh-CN"/>
              </w:rPr>
            </w:pPr>
            <w:r>
              <w:rPr>
                <w:rFonts w:hint="eastAsia" w:eastAsia="宋体" w:cs="Times New Roman"/>
                <w:b/>
                <w:color w:val="auto"/>
                <w:sz w:val="21"/>
                <w:szCs w:val="21"/>
                <w:lang w:val="en-US" w:eastAsia="zh-CN"/>
              </w:rPr>
              <w:t>功能区</w:t>
            </w:r>
          </w:p>
        </w:tc>
        <w:tc>
          <w:tcPr>
            <w:tcW w:w="1560" w:type="dxa"/>
            <w:vAlign w:val="center"/>
          </w:tcPr>
          <w:p>
            <w:pPr>
              <w:widowControl/>
              <w:adjustRightInd/>
              <w:snapToGrid/>
              <w:spacing w:line="240" w:lineRule="auto"/>
              <w:ind w:firstLine="0" w:firstLineChars="0"/>
              <w:jc w:val="center"/>
              <w:rPr>
                <w:rFonts w:hint="default" w:eastAsia="宋体" w:cs="Times New Roman"/>
                <w:b/>
                <w:color w:val="auto"/>
                <w:sz w:val="21"/>
                <w:szCs w:val="21"/>
                <w:lang w:val="en-US" w:eastAsia="zh-CN"/>
              </w:rPr>
            </w:pPr>
            <w:r>
              <w:rPr>
                <w:rFonts w:hint="eastAsia" w:eastAsia="宋体" w:cs="Times New Roman"/>
                <w:b/>
                <w:color w:val="auto"/>
                <w:sz w:val="21"/>
                <w:szCs w:val="21"/>
                <w:lang w:val="en-US" w:eastAsia="zh-CN"/>
              </w:rPr>
              <w:t>面积（公顷）</w:t>
            </w:r>
          </w:p>
        </w:tc>
        <w:tc>
          <w:tcPr>
            <w:tcW w:w="1530" w:type="dxa"/>
            <w:vAlign w:val="center"/>
          </w:tcPr>
          <w:p>
            <w:pPr>
              <w:widowControl/>
              <w:adjustRightInd/>
              <w:snapToGrid/>
              <w:spacing w:line="240" w:lineRule="auto"/>
              <w:ind w:firstLine="0" w:firstLineChars="0"/>
              <w:jc w:val="center"/>
              <w:rPr>
                <w:rFonts w:hint="default" w:eastAsia="宋体" w:cs="Times New Roman"/>
                <w:b/>
                <w:color w:val="auto"/>
                <w:sz w:val="21"/>
                <w:szCs w:val="21"/>
                <w:lang w:val="en-US" w:eastAsia="zh-CN"/>
              </w:rPr>
            </w:pPr>
            <w:r>
              <w:rPr>
                <w:rFonts w:hint="eastAsia" w:eastAsia="宋体" w:cs="Times New Roman"/>
                <w:b/>
                <w:color w:val="auto"/>
                <w:sz w:val="21"/>
                <w:szCs w:val="21"/>
                <w:lang w:val="en-US" w:eastAsia="zh-CN"/>
              </w:rPr>
              <w:t>百分比（％）</w:t>
            </w:r>
          </w:p>
        </w:tc>
        <w:tc>
          <w:tcPr>
            <w:tcW w:w="3146" w:type="dxa"/>
            <w:vAlign w:val="center"/>
          </w:tcPr>
          <w:p>
            <w:pPr>
              <w:widowControl/>
              <w:adjustRightInd/>
              <w:snapToGrid/>
              <w:spacing w:line="240" w:lineRule="auto"/>
              <w:ind w:firstLine="0" w:firstLineChars="0"/>
              <w:jc w:val="center"/>
              <w:rPr>
                <w:rFonts w:hint="default" w:eastAsia="宋体" w:cs="Times New Roman"/>
                <w:b/>
                <w:color w:val="auto"/>
                <w:sz w:val="21"/>
                <w:szCs w:val="21"/>
                <w:lang w:val="en-US" w:eastAsia="zh-CN"/>
              </w:rPr>
            </w:pPr>
            <w:r>
              <w:rPr>
                <w:rFonts w:hint="eastAsia" w:eastAsia="宋体" w:cs="Times New Roman"/>
                <w:b/>
                <w:color w:val="auto"/>
                <w:sz w:val="21"/>
                <w:szCs w:val="21"/>
                <w:lang w:val="en-US" w:eastAsia="zh-CN"/>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71"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1</w:t>
            </w:r>
          </w:p>
        </w:tc>
        <w:tc>
          <w:tcPr>
            <w:tcW w:w="1515"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森林旅游区</w:t>
            </w:r>
          </w:p>
        </w:tc>
        <w:tc>
          <w:tcPr>
            <w:tcW w:w="156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p>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169.23</w:t>
            </w:r>
          </w:p>
        </w:tc>
        <w:tc>
          <w:tcPr>
            <w:tcW w:w="153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p>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94.79</w:t>
            </w:r>
          </w:p>
        </w:tc>
        <w:tc>
          <w:tcPr>
            <w:tcW w:w="3146" w:type="dxa"/>
            <w:vAlign w:val="center"/>
          </w:tcPr>
          <w:p>
            <w:pPr>
              <w:spacing w:line="240" w:lineRule="auto"/>
              <w:ind w:left="0" w:leftChars="0" w:firstLine="0" w:firstLineChars="0"/>
              <w:jc w:val="left"/>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观赏游览、休闲度假、生态观光、保健养生、野营拓展、科普宣教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2</w:t>
            </w:r>
          </w:p>
        </w:tc>
        <w:tc>
          <w:tcPr>
            <w:tcW w:w="1515"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生态保育区</w:t>
            </w:r>
          </w:p>
        </w:tc>
        <w:tc>
          <w:tcPr>
            <w:tcW w:w="156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5.48</w:t>
            </w:r>
          </w:p>
        </w:tc>
        <w:tc>
          <w:tcPr>
            <w:tcW w:w="153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3.07</w:t>
            </w:r>
          </w:p>
        </w:tc>
        <w:tc>
          <w:tcPr>
            <w:tcW w:w="3146" w:type="dxa"/>
            <w:vAlign w:val="center"/>
          </w:tcPr>
          <w:p>
            <w:pPr>
              <w:widowControl/>
              <w:adjustRightInd/>
              <w:snapToGrid/>
              <w:spacing w:line="240" w:lineRule="auto"/>
              <w:ind w:firstLine="0" w:firstLineChars="0"/>
              <w:jc w:val="left"/>
              <w:rPr>
                <w:rFonts w:hint="default" w:eastAsia="宋体" w:cs="Times New Roman"/>
                <w:color w:val="auto"/>
                <w:sz w:val="21"/>
                <w:lang w:val="en-US" w:eastAsia="zh-CN"/>
              </w:rPr>
            </w:pPr>
            <w:r>
              <w:rPr>
                <w:rFonts w:hint="default" w:eastAsia="宋体" w:cs="Times New Roman"/>
                <w:color w:val="auto"/>
                <w:sz w:val="21"/>
                <w:lang w:val="en-US" w:eastAsia="zh-CN"/>
              </w:rPr>
              <w:t>森林培育、森林生态环境功能 提升、生物多样性保护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71"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w:t>
            </w:r>
          </w:p>
        </w:tc>
        <w:tc>
          <w:tcPr>
            <w:tcW w:w="1515"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生产经营区</w:t>
            </w:r>
          </w:p>
        </w:tc>
        <w:tc>
          <w:tcPr>
            <w:tcW w:w="156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3.22</w:t>
            </w:r>
          </w:p>
        </w:tc>
        <w:tc>
          <w:tcPr>
            <w:tcW w:w="153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1.80</w:t>
            </w:r>
          </w:p>
        </w:tc>
        <w:tc>
          <w:tcPr>
            <w:tcW w:w="3146" w:type="dxa"/>
            <w:vAlign w:val="center"/>
          </w:tcPr>
          <w:p>
            <w:pPr>
              <w:widowControl/>
              <w:adjustRightInd/>
              <w:snapToGrid/>
              <w:spacing w:line="240" w:lineRule="auto"/>
              <w:ind w:firstLine="0" w:firstLineChars="0"/>
              <w:jc w:val="left"/>
              <w:rPr>
                <w:rFonts w:hint="default" w:eastAsia="宋体" w:cs="Times New Roman"/>
                <w:color w:val="auto"/>
                <w:sz w:val="21"/>
                <w:lang w:val="en-US" w:eastAsia="zh-CN"/>
              </w:rPr>
            </w:pPr>
            <w:r>
              <w:rPr>
                <w:rFonts w:hint="default" w:eastAsia="宋体" w:cs="Times New Roman"/>
                <w:color w:val="auto"/>
                <w:sz w:val="21"/>
                <w:lang w:val="en-US" w:eastAsia="zh-CN"/>
              </w:rPr>
              <w:t>林木生产经营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71"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4</w:t>
            </w:r>
          </w:p>
        </w:tc>
        <w:tc>
          <w:tcPr>
            <w:tcW w:w="1515"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管理服务区</w:t>
            </w:r>
          </w:p>
        </w:tc>
        <w:tc>
          <w:tcPr>
            <w:tcW w:w="156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0.60</w:t>
            </w:r>
          </w:p>
        </w:tc>
        <w:tc>
          <w:tcPr>
            <w:tcW w:w="153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0.34</w:t>
            </w:r>
          </w:p>
        </w:tc>
        <w:tc>
          <w:tcPr>
            <w:tcW w:w="3146" w:type="dxa"/>
            <w:vAlign w:val="center"/>
          </w:tcPr>
          <w:p>
            <w:pPr>
              <w:spacing w:line="240" w:lineRule="auto"/>
              <w:ind w:left="0" w:leftChars="0" w:firstLine="0" w:firstLineChars="0"/>
              <w:jc w:val="left"/>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导游宣传、客源集散、接待服务、行政管理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286" w:type="dxa"/>
            <w:gridSpan w:val="2"/>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总计</w:t>
            </w:r>
          </w:p>
        </w:tc>
        <w:tc>
          <w:tcPr>
            <w:tcW w:w="156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178.53</w:t>
            </w:r>
          </w:p>
        </w:tc>
        <w:tc>
          <w:tcPr>
            <w:tcW w:w="1530"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r>
              <w:rPr>
                <w:rFonts w:hint="default" w:ascii="Times New Roman" w:hAnsi="Times New Roman" w:eastAsia="宋体" w:cs="Times New Roman"/>
                <w:b w:val="0"/>
                <w:bCs/>
                <w:color w:val="000000"/>
                <w:sz w:val="21"/>
                <w:szCs w:val="21"/>
                <w:shd w:val="clear" w:color="auto" w:fill="FFFFFF"/>
                <w:vertAlign w:val="baseline"/>
                <w:lang w:val="en-US" w:eastAsia="zh-CN"/>
              </w:rPr>
              <w:t>100</w:t>
            </w:r>
          </w:p>
        </w:tc>
        <w:tc>
          <w:tcPr>
            <w:tcW w:w="3146" w:type="dxa"/>
            <w:vAlign w:val="center"/>
          </w:tcPr>
          <w:p>
            <w:pPr>
              <w:spacing w:line="240" w:lineRule="auto"/>
              <w:ind w:left="0" w:leftChars="0" w:firstLine="0" w:firstLineChars="0"/>
              <w:jc w:val="center"/>
              <w:rPr>
                <w:rFonts w:hint="default" w:ascii="Times New Roman" w:hAnsi="Times New Roman" w:eastAsia="宋体" w:cs="Times New Roman"/>
                <w:b w:val="0"/>
                <w:bCs/>
                <w:color w:val="000000"/>
                <w:sz w:val="21"/>
                <w:szCs w:val="21"/>
                <w:shd w:val="clear" w:color="auto" w:fill="FFFFFF"/>
                <w:vertAlign w:val="baseline"/>
                <w:lang w:val="en-US" w:eastAsia="zh-CN"/>
              </w:rPr>
            </w:pPr>
          </w:p>
        </w:tc>
      </w:tr>
    </w:tbl>
    <w:p>
      <w:pPr>
        <w:ind w:left="0" w:leftChars="0" w:firstLine="0" w:firstLineChars="0"/>
        <w:rPr>
          <w:rFonts w:hint="eastAsia"/>
        </w:rPr>
      </w:pPr>
    </w:p>
    <w:p>
      <w:pPr>
        <w:pStyle w:val="4"/>
        <w:rPr>
          <w:rFonts w:hint="eastAsia" w:ascii="宋体" w:hAnsi="宋体" w:eastAsia="宋体" w:cs="宋体"/>
          <w:lang w:val="en-US" w:eastAsia="zh-CN"/>
        </w:rPr>
      </w:pPr>
      <w:r>
        <w:rPr>
          <w:rFonts w:hint="eastAsia" w:ascii="宋体" w:hAnsi="宋体" w:eastAsia="宋体" w:cs="宋体"/>
          <w:lang w:val="en-US" w:eastAsia="zh-CN"/>
        </w:rPr>
        <w:t>三、总体布局</w:t>
      </w:r>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lang w:val="en-US" w:eastAsia="zh-CN"/>
        </w:rPr>
        <w:t>以公园</w:t>
      </w:r>
      <w:r>
        <w:rPr>
          <w:rFonts w:hint="eastAsia" w:eastAsia="宋体" w:cs="Times New Roman"/>
          <w:color w:val="auto"/>
          <w:sz w:val="28"/>
          <w:szCs w:val="28"/>
          <w:lang w:eastAsia="zh-CN"/>
        </w:rPr>
        <w:t>“休闲康养圣地，森林度假天堂，台前文化展区，科普宣教基地”</w:t>
      </w:r>
      <w:r>
        <w:rPr>
          <w:rFonts w:hint="eastAsia" w:eastAsia="宋体" w:cs="Times New Roman"/>
          <w:color w:val="auto"/>
          <w:sz w:val="28"/>
          <w:szCs w:val="28"/>
          <w:lang w:val="en-US" w:eastAsia="zh-CN"/>
        </w:rPr>
        <w:t>的主题为基础，结合公园现状</w:t>
      </w:r>
      <w:r>
        <w:rPr>
          <w:rFonts w:hint="eastAsia" w:eastAsia="宋体" w:cs="Times New Roman"/>
          <w:color w:val="auto"/>
          <w:sz w:val="28"/>
          <w:szCs w:val="28"/>
          <w:lang w:eastAsia="zh-CN"/>
        </w:rPr>
        <w:t>，</w:t>
      </w:r>
      <w:r>
        <w:rPr>
          <w:rFonts w:hint="eastAsia" w:eastAsia="宋体" w:cs="Times New Roman"/>
          <w:color w:val="auto"/>
          <w:sz w:val="28"/>
          <w:szCs w:val="28"/>
          <w:lang w:val="en-US" w:eastAsia="zh-CN"/>
        </w:rPr>
        <w:t>规划的总体</w:t>
      </w:r>
      <w:r>
        <w:rPr>
          <w:rFonts w:hint="eastAsia" w:eastAsia="宋体" w:cs="Times New Roman"/>
          <w:color w:val="auto"/>
          <w:sz w:val="28"/>
          <w:szCs w:val="28"/>
          <w:lang w:eastAsia="zh-CN"/>
        </w:rPr>
        <w:t>布局为</w:t>
      </w:r>
      <w:r>
        <w:rPr>
          <w:rFonts w:hint="eastAsia" w:eastAsia="宋体" w:cs="Times New Roman"/>
          <w:b/>
          <w:bCs/>
          <w:color w:val="auto"/>
          <w:sz w:val="28"/>
          <w:szCs w:val="28"/>
          <w:lang w:val="en-US" w:eastAsia="zh-CN"/>
        </w:rPr>
        <w:t>“一环一带四区串八景”</w:t>
      </w:r>
      <w:r>
        <w:rPr>
          <w:rFonts w:hint="eastAsia" w:eastAsia="宋体" w:cs="Times New Roman"/>
          <w:color w:val="auto"/>
          <w:sz w:val="28"/>
          <w:szCs w:val="28"/>
          <w:lang w:eastAsia="zh-CN"/>
        </w:rPr>
        <w:t>。</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b/>
          <w:bCs/>
          <w:color w:val="auto"/>
          <w:sz w:val="28"/>
          <w:szCs w:val="28"/>
          <w:lang w:val="en-US" w:eastAsia="zh-CN"/>
        </w:rPr>
        <w:t>一环：</w:t>
      </w:r>
      <w:r>
        <w:rPr>
          <w:rFonts w:hint="eastAsia" w:eastAsia="宋体" w:cs="Times New Roman"/>
          <w:color w:val="auto"/>
          <w:sz w:val="28"/>
          <w:szCs w:val="28"/>
          <w:lang w:val="en-US" w:eastAsia="zh-CN"/>
        </w:rPr>
        <w:t>公园主环道；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b/>
          <w:bCs/>
          <w:color w:val="auto"/>
          <w:sz w:val="28"/>
          <w:szCs w:val="28"/>
          <w:lang w:val="en-US" w:eastAsia="zh-CN"/>
        </w:rPr>
        <w:t>一带：</w:t>
      </w:r>
      <w:r>
        <w:rPr>
          <w:rFonts w:hint="eastAsia" w:eastAsia="宋体" w:cs="Times New Roman"/>
          <w:color w:val="auto"/>
          <w:sz w:val="28"/>
          <w:szCs w:val="28"/>
          <w:lang w:val="en-US" w:eastAsia="zh-CN"/>
        </w:rPr>
        <w:t>梁庙沟景观带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b/>
          <w:bCs/>
          <w:color w:val="auto"/>
          <w:sz w:val="28"/>
          <w:szCs w:val="28"/>
          <w:lang w:val="en-US" w:eastAsia="zh-CN"/>
        </w:rPr>
        <w:t>四区：</w:t>
      </w:r>
      <w:r>
        <w:rPr>
          <w:rFonts w:hint="eastAsia" w:eastAsia="宋体" w:cs="Times New Roman"/>
          <w:color w:val="auto"/>
          <w:sz w:val="28"/>
          <w:szCs w:val="28"/>
          <w:lang w:val="en-US" w:eastAsia="zh-CN"/>
        </w:rPr>
        <w:t>森</w:t>
      </w:r>
      <w:r>
        <w:rPr>
          <w:rFonts w:hint="eastAsia" w:eastAsia="宋体" w:cs="Times New Roman"/>
          <w:color w:val="auto"/>
          <w:sz w:val="28"/>
          <w:szCs w:val="28"/>
        </w:rPr>
        <w:t>林旅游区、生态保育区、生产经营区以及管理</w:t>
      </w:r>
      <w:r>
        <w:rPr>
          <w:rFonts w:hint="eastAsia" w:eastAsia="宋体" w:cs="Times New Roman"/>
          <w:color w:val="auto"/>
          <w:sz w:val="28"/>
          <w:szCs w:val="28"/>
          <w:lang w:val="en-US" w:eastAsia="zh-CN"/>
        </w:rPr>
        <w:t>服务</w:t>
      </w:r>
      <w:r>
        <w:rPr>
          <w:rFonts w:hint="eastAsia" w:eastAsia="宋体" w:cs="Times New Roman"/>
          <w:color w:val="auto"/>
          <w:sz w:val="28"/>
          <w:szCs w:val="28"/>
        </w:rPr>
        <w:t>区</w:t>
      </w:r>
      <w:r>
        <w:rPr>
          <w:rFonts w:hint="eastAsia" w:eastAsia="宋体" w:cs="Times New Roman"/>
          <w:color w:val="auto"/>
          <w:sz w:val="28"/>
          <w:szCs w:val="28"/>
          <w:lang w:val="en-US" w:eastAsia="zh-CN"/>
        </w:rPr>
        <w:t>四大功能分区；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b/>
          <w:bCs/>
          <w:color w:val="auto"/>
          <w:sz w:val="28"/>
          <w:szCs w:val="28"/>
          <w:lang w:val="en-US" w:eastAsia="zh-CN"/>
        </w:rPr>
        <w:t>八景：</w:t>
      </w:r>
      <w:r>
        <w:rPr>
          <w:rFonts w:hint="eastAsia" w:eastAsia="宋体" w:cs="Times New Roman"/>
          <w:color w:val="auto"/>
          <w:sz w:val="28"/>
          <w:szCs w:val="28"/>
          <w:lang w:val="en-US" w:eastAsia="zh-CN"/>
        </w:rPr>
        <w:t>曲径通幽、竹岛听风、金堤余韵、杉林寻鹭、秋色如染、碧水迎宾、森林文化广场、果林识香。</w:t>
      </w:r>
    </w:p>
    <w:p>
      <w:pPr>
        <w:pStyle w:val="3"/>
        <w:rPr>
          <w:rFonts w:hint="default"/>
          <w:lang w:val="en-US" w:eastAsia="zh-CN"/>
        </w:rPr>
      </w:pPr>
      <w:bookmarkStart w:id="72" w:name="_Toc521613802"/>
      <w:bookmarkStart w:id="73" w:name="_Toc9163"/>
      <w:r>
        <w:rPr>
          <w:rFonts w:hint="eastAsia"/>
          <w:lang w:val="en-US" w:eastAsia="zh-CN"/>
        </w:rPr>
        <w:t>第三节 分区建设项目</w:t>
      </w:r>
      <w:bookmarkEnd w:id="72"/>
      <w:r>
        <w:rPr>
          <w:rFonts w:hint="eastAsia"/>
          <w:lang w:val="en-US" w:eastAsia="zh-CN"/>
        </w:rPr>
        <w:t>规划</w:t>
      </w:r>
      <w:bookmarkEnd w:id="73"/>
    </w:p>
    <w:p>
      <w:pPr>
        <w:pStyle w:val="4"/>
        <w:rPr>
          <w:rFonts w:hint="eastAsia" w:ascii="宋体" w:hAnsi="宋体" w:eastAsia="宋体" w:cs="宋体"/>
          <w:lang w:val="en-US" w:eastAsia="zh-CN"/>
        </w:rPr>
      </w:pPr>
      <w:r>
        <w:rPr>
          <w:rFonts w:hint="eastAsia" w:ascii="宋体" w:hAnsi="宋体" w:eastAsia="宋体" w:cs="宋体"/>
          <w:lang w:val="en-US" w:eastAsia="zh-CN"/>
        </w:rPr>
        <w:t>一、森林旅游区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（一）区域范围</w:t>
      </w:r>
    </w:p>
    <w:p>
      <w:pPr>
        <w:tabs>
          <w:tab w:val="left" w:pos="1465"/>
        </w:tabs>
        <w:bidi w:val="0"/>
        <w:jc w:val="left"/>
        <w:rPr>
          <w:rFonts w:hint="eastAsia" w:eastAsia="宋体" w:cs="Times New Roman"/>
          <w:color w:val="auto"/>
          <w:sz w:val="28"/>
          <w:szCs w:val="28"/>
          <w:lang w:val="en-US" w:eastAsia="zh-CN"/>
        </w:rPr>
      </w:pPr>
      <w:r>
        <w:rPr>
          <w:rFonts w:hint="eastAsia" w:eastAsia="宋体" w:cs="Times New Roman"/>
          <w:color w:val="auto"/>
          <w:sz w:val="28"/>
          <w:szCs w:val="28"/>
        </w:rPr>
        <w:t>森林旅游区</w:t>
      </w:r>
      <w:r>
        <w:rPr>
          <w:rFonts w:hint="eastAsia" w:eastAsia="宋体" w:cs="Times New Roman"/>
          <w:color w:val="auto"/>
          <w:sz w:val="28"/>
          <w:szCs w:val="28"/>
          <w:lang w:val="en-US" w:eastAsia="zh-CN"/>
        </w:rPr>
        <w:t>是在</w:t>
      </w:r>
      <w:r>
        <w:rPr>
          <w:rFonts w:hint="eastAsia" w:eastAsia="宋体" w:cs="Times New Roman"/>
          <w:color w:val="auto"/>
          <w:sz w:val="28"/>
          <w:szCs w:val="28"/>
        </w:rPr>
        <w:t>濮阳市国家储备林基地二期项目新造的乔木林</w:t>
      </w:r>
      <w:r>
        <w:rPr>
          <w:rFonts w:hint="eastAsia" w:eastAsia="宋体" w:cs="Times New Roman"/>
          <w:color w:val="auto"/>
          <w:sz w:val="28"/>
          <w:szCs w:val="28"/>
          <w:lang w:val="en-US" w:eastAsia="zh-CN"/>
        </w:rPr>
        <w:t>基础之上规划建成，面积169.23公顷，是公园的主体部分，包括游览区、游乐区、野营区、休疗养区、科普宣教区。</w:t>
      </w:r>
    </w:p>
    <w:p>
      <w:pPr>
        <w:pStyle w:val="42"/>
        <w:widowControl/>
        <w:adjustRightInd/>
        <w:snapToGrid/>
        <w:spacing w:before="120" w:beforeLines="50" w:line="360" w:lineRule="auto"/>
        <w:ind w:firstLine="562" w:firstLineChars="0"/>
        <w:jc w:val="both"/>
        <w:outlineLvl w:val="3"/>
        <w:rPr>
          <w:rFonts w:hint="default" w:eastAsia="楷体" w:cs="Times New Roman"/>
          <w:b/>
          <w:bCs/>
          <w:color w:val="auto"/>
          <w:sz w:val="28"/>
          <w:szCs w:val="28"/>
          <w:lang w:val="en-US" w:eastAsia="zh-CN"/>
        </w:rPr>
      </w:pPr>
      <w:r>
        <w:rPr>
          <w:rFonts w:hint="eastAsia" w:eastAsia="楷体" w:cs="Times New Roman"/>
          <w:b/>
          <w:bCs/>
          <w:color w:val="auto"/>
          <w:sz w:val="28"/>
          <w:szCs w:val="28"/>
          <w:lang w:val="en-US" w:eastAsia="zh-CN"/>
        </w:rPr>
        <w:t>（二）功能定位</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lang w:val="en-US" w:eastAsia="zh-CN"/>
        </w:rPr>
      </w:pPr>
      <w:r>
        <w:rPr>
          <w:rFonts w:hint="eastAsia" w:eastAsia="宋体" w:cs="Times New Roman"/>
          <w:color w:val="auto"/>
          <w:sz w:val="28"/>
          <w:szCs w:val="28"/>
        </w:rPr>
        <w:t>森林旅游区</w:t>
      </w:r>
      <w:r>
        <w:rPr>
          <w:rFonts w:hint="eastAsia" w:eastAsia="宋体" w:cs="Times New Roman"/>
          <w:color w:val="auto"/>
          <w:sz w:val="28"/>
          <w:szCs w:val="28"/>
          <w:lang w:val="en-US" w:eastAsia="zh-CN"/>
        </w:rPr>
        <w:t>是</w:t>
      </w:r>
      <w:r>
        <w:rPr>
          <w:rFonts w:hint="eastAsia" w:eastAsia="宋体" w:cs="Times New Roman"/>
          <w:color w:val="auto"/>
          <w:sz w:val="28"/>
          <w:szCs w:val="28"/>
        </w:rPr>
        <w:t>公园内自然环境和森林景观资源最为丰富的区块</w:t>
      </w:r>
      <w:r>
        <w:rPr>
          <w:rFonts w:hint="eastAsia" w:eastAsia="宋体" w:cs="Times New Roman"/>
          <w:color w:val="auto"/>
          <w:sz w:val="28"/>
          <w:szCs w:val="28"/>
          <w:lang w:val="en-US" w:eastAsia="zh-CN"/>
        </w:rPr>
        <w:t>，分布着大量的动植物，是开展森林生态文化的科普、科教活动的天然载体，也是观赏游览、休闲度假、生态观光、保健养生的绝好去处。</w:t>
      </w:r>
    </w:p>
    <w:p>
      <w:pPr>
        <w:pStyle w:val="42"/>
        <w:widowControl/>
        <w:adjustRightInd/>
        <w:snapToGrid/>
        <w:spacing w:before="120" w:beforeLines="50" w:line="360" w:lineRule="auto"/>
        <w:ind w:firstLine="562" w:firstLineChars="0"/>
        <w:jc w:val="both"/>
        <w:outlineLvl w:val="3"/>
        <w:rPr>
          <w:rFonts w:hint="default" w:eastAsia="楷体" w:cs="Times New Roman"/>
          <w:b/>
          <w:bCs/>
          <w:color w:val="auto"/>
          <w:sz w:val="28"/>
          <w:szCs w:val="28"/>
          <w:lang w:val="en-US" w:eastAsia="zh-CN"/>
        </w:rPr>
      </w:pPr>
      <w:r>
        <w:rPr>
          <w:rFonts w:hint="eastAsia" w:eastAsia="楷体" w:cs="Times New Roman"/>
          <w:b/>
          <w:bCs/>
          <w:color w:val="auto"/>
          <w:sz w:val="28"/>
          <w:szCs w:val="28"/>
          <w:lang w:val="en-US" w:eastAsia="zh-CN"/>
        </w:rPr>
        <w:t>（三）规划思路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该区有着丰富的动植物资源和风景秀美的自然环境资源，其负氧离子含量和气候环境在整个森林公园中都属于翘楚。规划依托上述资源优势，在严格保护森林生态环境的基础上，利用其良好的生态环境及森林功能，使人感到一种远离都市喧闹嘈杂特有的宁静。林内可设置有科普教育功能的游步道、休息平台等设施供游客停留小憩。设施以木质为主，以舒适为宜，同时力求简约、质朴，不破坏森林环境，令游客可以在汲取大自然的天地灵气中感受桃源般的休闲生活。同时，结合民俗文化、历史文化等资源，形成森林公园的文化特色，如森林观光度假基地、森林生态展示区、观鸟屋、森林拓展基地、主题植物园等。</w:t>
      </w:r>
    </w:p>
    <w:p>
      <w:pPr>
        <w:pStyle w:val="4"/>
        <w:rPr>
          <w:rFonts w:hint="eastAsia" w:ascii="宋体" w:hAnsi="宋体" w:eastAsia="宋体" w:cs="宋体"/>
          <w:lang w:val="en-US" w:eastAsia="zh-CN"/>
        </w:rPr>
      </w:pPr>
      <w:r>
        <w:rPr>
          <w:rFonts w:hint="eastAsia" w:ascii="宋体" w:hAnsi="宋体" w:eastAsia="宋体" w:cs="宋体"/>
          <w:lang w:val="en-US" w:eastAsia="zh-CN"/>
        </w:rPr>
        <w:t>二、生态保育区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（一）区域范围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生态保育区位于公园西南角的三块区域，面积5.48公顷。</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（二）功能定位</w:t>
      </w:r>
    </w:p>
    <w:p>
      <w:pPr>
        <w:tabs>
          <w:tab w:val="left" w:pos="1415"/>
        </w:tabs>
        <w:bidi w:val="0"/>
        <w:jc w:val="left"/>
        <w:rPr>
          <w:rFonts w:hint="eastAsia" w:eastAsia="宋体" w:cs="Times New Roman"/>
          <w:color w:val="auto"/>
          <w:sz w:val="28"/>
          <w:szCs w:val="28"/>
          <w:lang w:val="en-US" w:eastAsia="zh-CN"/>
        </w:rPr>
      </w:pPr>
      <w:r>
        <w:rPr>
          <w:rFonts w:hint="default" w:eastAsia="宋体" w:cs="Times New Roman"/>
          <w:color w:val="auto"/>
          <w:sz w:val="28"/>
          <w:szCs w:val="28"/>
          <w:lang w:val="en-US" w:eastAsia="zh-CN"/>
        </w:rPr>
        <w:t>生态保育区主要以生态保护修复</w:t>
      </w:r>
      <w:r>
        <w:rPr>
          <w:rFonts w:hint="eastAsia" w:eastAsia="宋体" w:cs="Times New Roman"/>
          <w:color w:val="auto"/>
          <w:sz w:val="28"/>
          <w:szCs w:val="28"/>
          <w:lang w:val="en-US" w:eastAsia="zh-CN"/>
        </w:rPr>
        <w:t>功能</w:t>
      </w:r>
      <w:r>
        <w:rPr>
          <w:rFonts w:hint="default" w:eastAsia="宋体" w:cs="Times New Roman"/>
          <w:color w:val="auto"/>
          <w:sz w:val="28"/>
          <w:szCs w:val="28"/>
          <w:lang w:val="en-US" w:eastAsia="zh-CN"/>
        </w:rPr>
        <w:t>为主</w:t>
      </w:r>
      <w:r>
        <w:rPr>
          <w:rFonts w:hint="eastAsia" w:eastAsia="宋体" w:cs="Times New Roman"/>
          <w:color w:val="auto"/>
          <w:sz w:val="28"/>
          <w:szCs w:val="28"/>
          <w:lang w:val="en-US" w:eastAsia="zh-CN"/>
        </w:rPr>
        <w:t>，是森林公园内保护森林生态系统的核心区域，主要开展保护、监测等必需的保护管理活动，不得进行与森林生态系统保护和管理无关的其他活动。</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（三）规划思路</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根据现行相关法律、法规要求，对生态保育区的森林植被进行严格的保护和保育，维护森林公园内的生态系统稳定性和自然性，为野生动物创造良好的栖息环境；在此基础上，开展一定的科研和监测活动，保护森林生态环境、森林资源以及生物多样性，更好地发挥森林生态功能，为森林公园开展森林游憩活动提供重要的生态屏障，为森林公园可持续发展预留空间。</w:t>
      </w:r>
    </w:p>
    <w:p>
      <w:pPr>
        <w:pStyle w:val="4"/>
        <w:rPr>
          <w:rFonts w:hint="eastAsia" w:ascii="宋体" w:hAnsi="宋体" w:eastAsia="宋体" w:cs="宋体"/>
          <w:lang w:val="en-US" w:eastAsia="zh-CN"/>
        </w:rPr>
      </w:pPr>
      <w:r>
        <w:rPr>
          <w:rFonts w:hint="eastAsia" w:ascii="宋体" w:hAnsi="宋体" w:eastAsia="宋体" w:cs="宋体"/>
          <w:lang w:val="en-US" w:eastAsia="zh-CN"/>
        </w:rPr>
        <w:t>三、生产经营区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（一）区域范围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生产经营区位于公园南部转角处，主要是公园内的果林生长区，面积3.22公顷。</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（二）功能定位</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生产经营区主要以林木、果树生产经营为主，适当地与旅游体验相结合。</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（三）规划思路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近年来台前县经济林和苗木花卉产业发展势头良好，为提高林木经营发展，增产增收，促进旅游发展，规划建设一个集果林文化、林果生产销售、旅游于一体的林果苗木基地或水果采摘园，将林业产品与旅游文化相互结合，充分满足游客物质与文化需求。</w:t>
      </w:r>
    </w:p>
    <w:p>
      <w:pPr>
        <w:pStyle w:val="4"/>
        <w:rPr>
          <w:rFonts w:hint="eastAsia" w:ascii="宋体" w:hAnsi="宋体" w:eastAsia="宋体" w:cs="宋体"/>
          <w:lang w:val="en-US" w:eastAsia="zh-CN"/>
        </w:rPr>
      </w:pPr>
      <w:r>
        <w:rPr>
          <w:rFonts w:hint="eastAsia" w:ascii="宋体" w:hAnsi="宋体" w:eastAsia="宋体" w:cs="宋体"/>
          <w:lang w:val="en-US" w:eastAsia="zh-CN"/>
        </w:rPr>
        <w:t>四、管理服务区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（一）区域范围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管理服务区位于公园南、北及西侧的入口广场处，面积合计0.60公顷。</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（二）功能定位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管理服务区是指为满足森林公园管理和旅游接待服务需要而划 定的区域。管理服务区内主要规划包括入口管理区、游客中心、停车 场和一定数量的住宿、餐饮、购物、娱乐等接待服务设施，以及必要 的管理和职工生活用房等。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（三）规划思路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根据西凤森林公园旅游配套设施的现状和今后发展的需要，规划在公园三个入口处建立3处森林公园管理服务中心，并按旅游需求和等级建立配套的服务设施。</w:t>
      </w:r>
    </w:p>
    <w:p>
      <w:pPr>
        <w:pStyle w:val="3"/>
        <w:rPr>
          <w:rFonts w:hint="eastAsia"/>
          <w:lang w:val="en-US" w:eastAsia="zh-CN"/>
        </w:rPr>
      </w:pPr>
      <w:bookmarkStart w:id="74" w:name="_Toc15897"/>
      <w:r>
        <w:rPr>
          <w:rFonts w:hint="eastAsia"/>
          <w:lang w:val="en-US" w:eastAsia="zh-CN"/>
        </w:rPr>
        <w:t>第四节 规划分期</w:t>
      </w:r>
      <w:bookmarkEnd w:id="74"/>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为使本规划具备较强的可操作性，并保持一定程度的弹性，本次规划期限为2021-2030年，共10年。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根据森林公园的旅游开发情况及当地社会经济发展情况，规划分为两期实施。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近期（2021-2024年），四年，基础开发建设期；</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远期（2025-2030年），六年，系统建设完善期。</w:t>
      </w:r>
    </w:p>
    <w:p>
      <w:pPr>
        <w:pStyle w:val="3"/>
        <w:rPr>
          <w:rFonts w:hint="eastAsia"/>
          <w:lang w:val="en-US" w:eastAsia="zh-CN"/>
        </w:rPr>
      </w:pPr>
      <w:bookmarkStart w:id="75" w:name="_Toc11103"/>
      <w:r>
        <w:rPr>
          <w:rFonts w:hint="eastAsia"/>
          <w:lang w:val="en-US" w:eastAsia="zh-CN"/>
        </w:rPr>
        <w:t>第五节 发展目标</w:t>
      </w:r>
      <w:bookmarkEnd w:id="75"/>
    </w:p>
    <w:p>
      <w:pPr>
        <w:ind w:firstLine="560"/>
      </w:pPr>
      <w:r>
        <w:rPr>
          <w:rFonts w:hint="eastAsia" w:eastAsia="宋体" w:cs="Times New Roman"/>
          <w:color w:val="auto"/>
          <w:sz w:val="28"/>
          <w:szCs w:val="28"/>
          <w:lang w:val="en-US" w:eastAsia="zh-CN"/>
        </w:rPr>
        <w:t>根据森林公园内的森林旅游资源特色，从客观实际出发，在科学保护的前提下，按照可持续发展的要求，逐步挖掘自然景观资源和人文景观资源，重点挖掘森林自然生态特色，打造生态环境优良、生态功能完善、主题特色明显、旅游产品丰富、新颖，服务体系完善的城郊型省级森林公园。</w:t>
      </w:r>
    </w:p>
    <w:p>
      <w:pPr>
        <w:pStyle w:val="4"/>
        <w:rPr>
          <w:rFonts w:hint="eastAsia" w:ascii="宋体" w:hAnsi="宋体" w:eastAsia="宋体" w:cs="宋体"/>
          <w:lang w:val="en-US" w:eastAsia="zh-CN"/>
        </w:rPr>
      </w:pPr>
      <w:r>
        <w:rPr>
          <w:rFonts w:hint="eastAsia" w:ascii="宋体" w:hAnsi="宋体" w:eastAsia="宋体" w:cs="宋体"/>
          <w:lang w:val="en-US" w:eastAsia="zh-CN"/>
        </w:rPr>
        <w:t>一、总体目标</w:t>
      </w:r>
    </w:p>
    <w:p>
      <w:pPr>
        <w:ind w:firstLine="560"/>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在保护西凤省级森林公园现有森林资源和生态环境的前提下，充分考虑资源特色、游客需求、市场环境、经济水平、文化特征等综合因素，确立以“生态保护”、“科普宣教”、“康体养生”、“休闲度假”、“文化展示”为五大主题，并以西凤森林公园特有的以大面积常绿—落叶阔叶混交林、落叶阔叶林为代表的植被景观、以梁庙沟水系为代表的水文景观、以黄河流域史事文化为代表的人文景观为基础，规划设计有地方文化特色的景点，合理配套服务设施，积极推进森林科普宣教，突出文化形象展示，为游客提供一个融休闲度假、康体养生、科普宣教、文体体验等多功能于一体的城郊型森林公园。</w:t>
      </w:r>
    </w:p>
    <w:p>
      <w:pPr>
        <w:pStyle w:val="4"/>
        <w:rPr>
          <w:rFonts w:hint="eastAsia" w:ascii="宋体" w:hAnsi="宋体" w:eastAsia="宋体" w:cs="宋体"/>
          <w:lang w:val="en-US" w:eastAsia="zh-CN"/>
        </w:rPr>
      </w:pPr>
      <w:r>
        <w:rPr>
          <w:rFonts w:hint="eastAsia" w:ascii="宋体" w:hAnsi="宋体" w:eastAsia="宋体" w:cs="宋体"/>
          <w:lang w:val="en-US" w:eastAsia="zh-CN"/>
        </w:rPr>
        <w:t>二、分期目标</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近期（</w:t>
      </w:r>
      <w:r>
        <w:rPr>
          <w:rFonts w:eastAsia="宋体" w:cs="Times New Roman"/>
          <w:color w:val="auto"/>
          <w:sz w:val="28"/>
          <w:szCs w:val="28"/>
        </w:rPr>
        <w:t>20</w:t>
      </w:r>
      <w:r>
        <w:rPr>
          <w:rFonts w:hint="eastAsia" w:eastAsia="宋体" w:cs="Times New Roman"/>
          <w:color w:val="auto"/>
          <w:sz w:val="28"/>
          <w:szCs w:val="28"/>
          <w:lang w:val="en-US" w:eastAsia="zh-CN"/>
        </w:rPr>
        <w:t>21</w:t>
      </w:r>
      <w:r>
        <w:rPr>
          <w:rFonts w:eastAsia="宋体" w:cs="Times New Roman"/>
          <w:color w:val="auto"/>
          <w:sz w:val="28"/>
          <w:szCs w:val="28"/>
        </w:rPr>
        <w:t>-202</w:t>
      </w:r>
      <w:r>
        <w:rPr>
          <w:rFonts w:hint="eastAsia" w:eastAsia="宋体" w:cs="Times New Roman"/>
          <w:color w:val="auto"/>
          <w:sz w:val="28"/>
          <w:szCs w:val="28"/>
          <w:lang w:val="en-US" w:eastAsia="zh-CN"/>
        </w:rPr>
        <w:t>4</w:t>
      </w:r>
      <w:r>
        <w:rPr>
          <w:rFonts w:hint="eastAsia" w:eastAsia="宋体" w:cs="Times New Roman"/>
          <w:color w:val="auto"/>
          <w:sz w:val="28"/>
          <w:szCs w:val="28"/>
        </w:rPr>
        <w:t>年）：基础开发建设期。建立健全森林公园管理机构与管理制度，建设保护与管理的专业队伍，在对重点森林风景资源外围的森林植被进行改造，提高森林景观质量的前提下，加强森林公园基础设施建设，重点打造森林文化广场、氧吧栈道、滨水景观带等景区，建成初具规模的风景游览环境，充实景区景观内容，完善配套服务设施，形成一定规模的接待能力，扩大森林公园可游览面积，使景区特色鲜明，协调发展，实现良性循环。</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远期（</w:t>
      </w:r>
      <w:r>
        <w:rPr>
          <w:rFonts w:eastAsia="宋体" w:cs="Times New Roman"/>
          <w:color w:val="auto"/>
          <w:sz w:val="28"/>
          <w:szCs w:val="28"/>
        </w:rPr>
        <w:t>202</w:t>
      </w:r>
      <w:r>
        <w:rPr>
          <w:rFonts w:hint="eastAsia" w:eastAsia="宋体" w:cs="Times New Roman"/>
          <w:color w:val="auto"/>
          <w:sz w:val="28"/>
          <w:szCs w:val="28"/>
          <w:lang w:val="en-US" w:eastAsia="zh-CN"/>
        </w:rPr>
        <w:t>5</w:t>
      </w:r>
      <w:r>
        <w:rPr>
          <w:rFonts w:eastAsia="宋体" w:cs="Times New Roman"/>
          <w:color w:val="auto"/>
          <w:sz w:val="28"/>
          <w:szCs w:val="28"/>
        </w:rPr>
        <w:t>-20</w:t>
      </w:r>
      <w:r>
        <w:rPr>
          <w:rFonts w:hint="eastAsia" w:eastAsia="宋体" w:cs="Times New Roman"/>
          <w:color w:val="auto"/>
          <w:sz w:val="28"/>
          <w:szCs w:val="28"/>
          <w:lang w:val="en-US" w:eastAsia="zh-CN"/>
        </w:rPr>
        <w:t>30</w:t>
      </w:r>
      <w:r>
        <w:rPr>
          <w:rFonts w:hint="eastAsia" w:eastAsia="宋体" w:cs="Times New Roman"/>
          <w:color w:val="auto"/>
          <w:sz w:val="28"/>
          <w:szCs w:val="28"/>
        </w:rPr>
        <w:t>年）：系统建设完善期。全面落实森林生态系统及野生动植物资源的保护措施，建立生态环境监测和保护体系。实现森林公园管理的科学化、制度化、规范化。全面完成森林公园基础设施及项目建设，开展各类森林生态旅游活动，打造西凤省级森林公园旅游的核心竞争力，使之成为区域知名度较高的省级森林公园。</w:t>
      </w: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widowControl/>
        <w:adjustRightInd/>
        <w:snapToGrid/>
        <w:spacing w:line="240" w:lineRule="auto"/>
        <w:ind w:firstLine="0" w:firstLineChars="0"/>
        <w:jc w:val="left"/>
        <w:rPr>
          <w:rFonts w:eastAsia="黑体"/>
          <w:kern w:val="44"/>
          <w:sz w:val="44"/>
        </w:rPr>
      </w:pP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76" w:name="_Toc19695"/>
      <w:r>
        <w:rPr>
          <w:rFonts w:hint="eastAsia" w:cs="Times New Roman"/>
          <w:b w:val="0"/>
          <w:bCs w:val="0"/>
          <w:i w:val="0"/>
          <w:iCs/>
          <w:color w:val="auto"/>
          <w:kern w:val="44"/>
          <w:szCs w:val="44"/>
        </w:rPr>
        <w:t>第五章 环境容量估算与游客规模预测</w:t>
      </w:r>
      <w:bookmarkEnd w:id="76"/>
    </w:p>
    <w:p>
      <w:pPr>
        <w:pStyle w:val="3"/>
        <w:rPr>
          <w:rFonts w:hint="eastAsia"/>
          <w:lang w:val="en-US" w:eastAsia="zh-CN"/>
        </w:rPr>
      </w:pPr>
      <w:bookmarkStart w:id="77" w:name="_Toc4675"/>
      <w:r>
        <w:rPr>
          <w:rFonts w:hint="eastAsia"/>
          <w:lang w:val="en-US" w:eastAsia="zh-CN"/>
        </w:rPr>
        <w:t>第一节 环境容量估算</w:t>
      </w:r>
      <w:bookmarkEnd w:id="77"/>
      <w:r>
        <w:rPr>
          <w:rFonts w:hint="eastAsia"/>
          <w:lang w:val="en-US" w:eastAsia="zh-CN"/>
        </w:rPr>
        <w:tab/>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合理确定环境容量，是有效保护森林公园内的自然景观和人文景观，提高旅游环境质量，使游客安全舒适地观景赏物，切实保护好森林公园生态环境的必要条件之一，把旅游开发纳入到保护的健康轨道上来，牢固树立生态环境容量、生态环境承载的理念。</w:t>
      </w:r>
    </w:p>
    <w:p>
      <w:pPr>
        <w:pStyle w:val="4"/>
      </w:pPr>
      <w:r>
        <w:rPr>
          <w:rFonts w:hint="eastAsia" w:ascii="宋体" w:hAnsi="宋体" w:eastAsia="宋体" w:cs="宋体"/>
          <w:lang w:val="en-US" w:eastAsia="zh-CN"/>
        </w:rPr>
        <w:t xml:space="preserve">一、环境容量估算原则  </w:t>
      </w:r>
      <w:r>
        <w:rPr>
          <w:rFonts w:hint="eastAsia"/>
        </w:rPr>
        <w:t xml:space="preserve">    </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（一）忍耐度原则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 xml:space="preserve">环境容量不得超过风景资源和环境质量保护的“忍耐度”；  </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（二）满足性原则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 xml:space="preserve">满足游客舒适、安全、卫生、便利地游览的需要；  </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（三）效益性原则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 xml:space="preserve">在保证森林资源质量不下降和生态环境不退化的条件下，实现最佳经济效益。  </w:t>
      </w:r>
    </w:p>
    <w:p>
      <w:pPr>
        <w:pStyle w:val="4"/>
        <w:rPr>
          <w:rFonts w:hint="eastAsia" w:ascii="宋体" w:hAnsi="宋体" w:eastAsia="宋体" w:cs="宋体"/>
          <w:lang w:val="en-US" w:eastAsia="zh-CN"/>
        </w:rPr>
      </w:pPr>
      <w:r>
        <w:rPr>
          <w:rFonts w:hint="eastAsia" w:ascii="宋体" w:hAnsi="宋体" w:eastAsia="宋体" w:cs="宋体"/>
          <w:lang w:val="en-US" w:eastAsia="zh-CN"/>
        </w:rPr>
        <w:t xml:space="preserve">二、估算方法  </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应分别按景区、景点的可游面积测算日环境容量，并结合森林公园季节特点，计算森林公园年环境容量。环境容量一般采用面积法、卡口法、游路法等，根据西凤森林公园的现实条件选用面积法和游路法。</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（一）日环境容量</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 面积法</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按公式（D.1）计算</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C = A∕a × D………………………………（D.1）</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式中：</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C——日环境容量，单位为人次；</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A——可游览面积，单位为平方米；</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a——每位游人应占有的合理面积，单位为平方米；</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 xml:space="preserve">D——周转率（D =景点开放时间∕游完景点所需时间）。 </w:t>
      </w:r>
    </w:p>
    <w:p>
      <w:pPr>
        <w:widowControl/>
        <w:adjustRightInd/>
        <w:snapToGrid/>
        <w:spacing w:line="360" w:lineRule="auto"/>
        <w:ind w:firstLine="480" w:firstLineChars="0"/>
        <w:jc w:val="center"/>
        <w:rPr>
          <w:rFonts w:ascii="黑体" w:hAnsi="黑体" w:eastAsia="黑体" w:cs="Times New Roman"/>
          <w:color w:val="auto"/>
          <w:sz w:val="24"/>
        </w:rPr>
      </w:pPr>
      <w:r>
        <w:rPr>
          <w:rFonts w:hint="eastAsia" w:ascii="黑体" w:hAnsi="黑体" w:eastAsia="黑体" w:cs="Times New Roman"/>
          <w:color w:val="auto"/>
          <w:sz w:val="24"/>
        </w:rPr>
        <w:t>表</w:t>
      </w:r>
      <w:r>
        <w:rPr>
          <w:rFonts w:ascii="黑体" w:hAnsi="黑体" w:eastAsia="黑体" w:cs="Times New Roman"/>
          <w:color w:val="auto"/>
          <w:sz w:val="24"/>
        </w:rPr>
        <w:t>5</w:t>
      </w:r>
      <w:r>
        <w:rPr>
          <w:rFonts w:hint="eastAsia" w:ascii="黑体" w:hAnsi="黑体" w:eastAsia="黑体" w:cs="Times New Roman"/>
          <w:color w:val="auto"/>
          <w:sz w:val="24"/>
        </w:rPr>
        <w:t>-1</w:t>
      </w:r>
      <w:r>
        <w:rPr>
          <w:rFonts w:ascii="黑体" w:hAnsi="黑体" w:eastAsia="黑体" w:cs="Times New Roman"/>
          <w:color w:val="auto"/>
          <w:sz w:val="24"/>
        </w:rPr>
        <w:t xml:space="preserve"> 面积法测算</w:t>
      </w:r>
      <w:r>
        <w:rPr>
          <w:rFonts w:hint="eastAsia" w:ascii="黑体" w:hAnsi="黑体" w:eastAsia="黑体" w:cs="Times New Roman"/>
          <w:color w:val="auto"/>
          <w:sz w:val="24"/>
        </w:rPr>
        <w:t>森林公园环境容量估算表</w:t>
      </w:r>
    </w:p>
    <w:tbl>
      <w:tblPr>
        <w:tblStyle w:val="12"/>
        <w:tblW w:w="47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4137"/>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3167" w:type="pct"/>
            <w:gridSpan w:val="2"/>
            <w:vMerge w:val="restart"/>
            <w:shd w:val="clear" w:color="auto" w:fill="auto"/>
            <w:vAlign w:val="center"/>
          </w:tcPr>
          <w:p>
            <w:pPr>
              <w:topLinePunct/>
              <w:spacing w:line="360" w:lineRule="exact"/>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测算方法</w:t>
            </w:r>
          </w:p>
        </w:tc>
        <w:tc>
          <w:tcPr>
            <w:tcW w:w="1833" w:type="pct"/>
            <w:vMerge w:val="restart"/>
            <w:shd w:val="clear" w:color="auto" w:fill="auto"/>
            <w:vAlign w:val="center"/>
          </w:tcPr>
          <w:p>
            <w:pPr>
              <w:topLinePunct/>
              <w:spacing w:line="360" w:lineRule="exact"/>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公园合计（人次/日）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67" w:type="pct"/>
            <w:gridSpan w:val="2"/>
            <w:vMerge w:val="continue"/>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p>
        </w:tc>
        <w:tc>
          <w:tcPr>
            <w:tcW w:w="1833" w:type="pct"/>
            <w:vMerge w:val="continue"/>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593" w:type="pct"/>
            <w:vMerge w:val="restar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面</w:t>
            </w:r>
          </w:p>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积</w:t>
            </w:r>
          </w:p>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法</w:t>
            </w:r>
          </w:p>
        </w:tc>
        <w:tc>
          <w:tcPr>
            <w:tcW w:w="2574"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可游览面积（平方米）</w:t>
            </w:r>
          </w:p>
        </w:tc>
        <w:tc>
          <w:tcPr>
            <w:tcW w:w="1833"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593" w:type="pct"/>
            <w:vMerge w:val="continue"/>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p>
        </w:tc>
        <w:tc>
          <w:tcPr>
            <w:tcW w:w="2574"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人均合理面积（平方米/人）</w:t>
            </w:r>
          </w:p>
        </w:tc>
        <w:tc>
          <w:tcPr>
            <w:tcW w:w="1833"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593" w:type="pct"/>
            <w:vMerge w:val="continue"/>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p>
        </w:tc>
        <w:tc>
          <w:tcPr>
            <w:tcW w:w="2574"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周转率</w:t>
            </w:r>
          </w:p>
        </w:tc>
        <w:tc>
          <w:tcPr>
            <w:tcW w:w="1833"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593" w:type="pct"/>
            <w:vMerge w:val="continue"/>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p>
        </w:tc>
        <w:tc>
          <w:tcPr>
            <w:tcW w:w="2574"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环境容量</w:t>
            </w:r>
          </w:p>
        </w:tc>
        <w:tc>
          <w:tcPr>
            <w:tcW w:w="1833" w:type="pct"/>
            <w:shd w:val="clear" w:color="auto" w:fill="auto"/>
            <w:vAlign w:val="center"/>
          </w:tcPr>
          <w:p>
            <w:pPr>
              <w:topLinePunct/>
              <w:spacing w:line="36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8000</w:t>
            </w:r>
          </w:p>
        </w:tc>
      </w:tr>
    </w:tbl>
    <w:p>
      <w:pPr>
        <w:ind w:firstLine="560"/>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 游路法</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按公式（D.2）计算</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C = M∕m×D………………………………………（D.2）</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式中：</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C——日环境容量，单位为人次；</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 xml:space="preserve">M——游道全长，单位为米； </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m——每位游客占用合理游道长度，单位为米；</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D——周转率，（D =游道全天开放时间/游完全游道所需时间）。</w:t>
      </w:r>
    </w:p>
    <w:p>
      <w:pPr>
        <w:widowControl/>
        <w:adjustRightInd/>
        <w:snapToGrid/>
        <w:spacing w:line="360" w:lineRule="auto"/>
        <w:ind w:firstLine="480" w:firstLineChars="0"/>
        <w:jc w:val="center"/>
        <w:rPr>
          <w:rFonts w:hint="eastAsia" w:ascii="黑体" w:hAnsi="黑体" w:eastAsia="黑体" w:cs="Times New Roman"/>
          <w:color w:val="auto"/>
          <w:sz w:val="24"/>
        </w:rPr>
      </w:pPr>
      <w:r>
        <w:rPr>
          <w:rFonts w:hint="eastAsia" w:ascii="黑体" w:hAnsi="黑体" w:eastAsia="黑体" w:cs="Times New Roman"/>
          <w:color w:val="auto"/>
          <w:sz w:val="24"/>
        </w:rPr>
        <w:t>表5-2 游路法森林公园环境容量估算表</w:t>
      </w:r>
    </w:p>
    <w:tbl>
      <w:tblPr>
        <w:tblStyle w:val="12"/>
        <w:tblW w:w="47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4137"/>
        <w:gridCol w:w="2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3167" w:type="pct"/>
            <w:gridSpan w:val="2"/>
            <w:vMerge w:val="restart"/>
            <w:shd w:val="clear" w:color="auto" w:fill="auto"/>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测算方法</w:t>
            </w:r>
          </w:p>
        </w:tc>
        <w:tc>
          <w:tcPr>
            <w:tcW w:w="1833" w:type="pct"/>
            <w:vMerge w:val="restart"/>
            <w:shd w:val="clear" w:color="auto" w:fill="auto"/>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公园合计（人次/日）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67" w:type="pct"/>
            <w:gridSpan w:val="2"/>
            <w:vMerge w:val="continue"/>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1833" w:type="pct"/>
            <w:vMerge w:val="continue"/>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93" w:type="pct"/>
            <w:vMerge w:val="restar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w:t>
            </w:r>
          </w:p>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w:t>
            </w:r>
          </w:p>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w:t>
            </w:r>
          </w:p>
        </w:tc>
        <w:tc>
          <w:tcPr>
            <w:tcW w:w="2574"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游路长度（米）</w:t>
            </w:r>
          </w:p>
        </w:tc>
        <w:tc>
          <w:tcPr>
            <w:tcW w:w="1833"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593" w:type="pct"/>
            <w:vMerge w:val="continue"/>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2574"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人均合理长度（米/人）</w:t>
            </w:r>
          </w:p>
        </w:tc>
        <w:tc>
          <w:tcPr>
            <w:tcW w:w="1833"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593" w:type="pct"/>
            <w:vMerge w:val="continue"/>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2574"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周转率</w:t>
            </w:r>
          </w:p>
        </w:tc>
        <w:tc>
          <w:tcPr>
            <w:tcW w:w="1833"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593" w:type="pct"/>
            <w:vMerge w:val="continue"/>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2574"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环境容量</w:t>
            </w:r>
          </w:p>
        </w:tc>
        <w:tc>
          <w:tcPr>
            <w:tcW w:w="1833" w:type="pct"/>
            <w:shd w:val="clear" w:color="auto" w:fill="auto"/>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2226</w:t>
            </w:r>
          </w:p>
        </w:tc>
      </w:tr>
    </w:tbl>
    <w:p>
      <w:pPr>
        <w:ind w:firstLine="560"/>
      </w:pP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经测算，</w:t>
      </w:r>
      <w:r>
        <w:rPr>
          <w:rFonts w:hint="eastAsia" w:eastAsia="宋体" w:cs="Times New Roman"/>
          <w:color w:val="auto"/>
          <w:sz w:val="28"/>
          <w:szCs w:val="28"/>
          <w:lang w:eastAsia="zh-CN"/>
        </w:rPr>
        <w:t>西凤</w:t>
      </w:r>
      <w:r>
        <w:rPr>
          <w:rFonts w:hint="eastAsia" w:eastAsia="宋体" w:cs="Times New Roman"/>
          <w:color w:val="auto"/>
          <w:sz w:val="28"/>
          <w:szCs w:val="28"/>
        </w:rPr>
        <w:t>省级森林公园的环境容量按面积法测算为8000人次/日，按游路法测算为2226人次/日，取两次平均值得到公园的环境容量为5113人次/日。</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（二）年环境容量和年游客量</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 年环境容量</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按照公园日游客量取平均值测算结果5113人次/日计算，公园年平均可游览天数240天计，则公园环境年容量为122.71万人次。</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 年游客量</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年游客量按以下公式进行计算。</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G季= G日×N×K</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G年= G淡+ G平+ G旺</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其中G年=年游客量（万人次）；G季=淡、平、旺季游客量（万人次）；G日=日环境容量（人次）；N=淡、平、旺季旅游天数（d）；K=旅游系数</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根据西凤省级森林公园旅游气候特点，旅游旺季为5～10月，计180天；平季为11月，计30天；淡季为4月，计30天。按照旺季以理论日容量的60%，平季以理论日容量的40%，淡季以理论日容量的20%进行计算，森林公园年环境容量为61.21万人次，详见表</w:t>
      </w:r>
      <w:r>
        <w:rPr>
          <w:rFonts w:hint="eastAsia" w:eastAsia="宋体" w:cs="Times New Roman"/>
          <w:color w:val="auto"/>
          <w:sz w:val="28"/>
          <w:szCs w:val="28"/>
          <w:lang w:val="en-US" w:eastAsia="zh-CN"/>
        </w:rPr>
        <w:t>5</w:t>
      </w:r>
      <w:r>
        <w:rPr>
          <w:rFonts w:hint="eastAsia" w:eastAsia="宋体" w:cs="Times New Roman"/>
          <w:color w:val="auto"/>
          <w:sz w:val="28"/>
          <w:szCs w:val="28"/>
        </w:rPr>
        <w:t>-3。从环境容量上看，西凤省级森林公园具有良好的发展潜力。从旅游开发与环境保护的角度看，环境容量无论在建设期或经营期不会成为旅游发展的限制因子，只需对节假日客流进行</w:t>
      </w:r>
      <w:r>
        <w:rPr>
          <w:rFonts w:hint="eastAsia" w:eastAsia="宋体" w:cs="Times New Roman"/>
          <w:color w:val="auto"/>
          <w:sz w:val="28"/>
          <w:szCs w:val="28"/>
          <w:lang w:eastAsia="zh-CN"/>
        </w:rPr>
        <w:t>合理地控制</w:t>
      </w:r>
      <w:r>
        <w:rPr>
          <w:rFonts w:hint="eastAsia" w:eastAsia="宋体" w:cs="Times New Roman"/>
          <w:color w:val="auto"/>
          <w:sz w:val="28"/>
          <w:szCs w:val="28"/>
        </w:rPr>
        <w:t>和分流，保证局部景区或景点的游客量不超过局部环境容量则可。</w:t>
      </w:r>
    </w:p>
    <w:p>
      <w:pPr>
        <w:widowControl/>
        <w:adjustRightInd/>
        <w:snapToGrid/>
        <w:spacing w:line="360" w:lineRule="auto"/>
        <w:ind w:firstLine="480" w:firstLineChars="0"/>
        <w:jc w:val="center"/>
        <w:rPr>
          <w:rFonts w:hint="eastAsia" w:ascii="黑体" w:hAnsi="黑体" w:eastAsia="黑体" w:cs="Times New Roman"/>
          <w:color w:val="auto"/>
          <w:sz w:val="24"/>
        </w:rPr>
      </w:pPr>
      <w:r>
        <w:rPr>
          <w:rFonts w:hint="eastAsia" w:ascii="黑体" w:hAnsi="黑体" w:eastAsia="黑体" w:cs="Times New Roman"/>
          <w:color w:val="auto"/>
          <w:sz w:val="24"/>
        </w:rPr>
        <w:t>表5-3 森林公园年游客量估算表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1816"/>
        <w:gridCol w:w="2071"/>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83" w:type="pct"/>
            <w:vAlign w:val="center"/>
          </w:tcPr>
          <w:p>
            <w:pPr>
              <w:spacing w:line="48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旅游季节</w:t>
            </w:r>
          </w:p>
        </w:tc>
        <w:tc>
          <w:tcPr>
            <w:tcW w:w="1065" w:type="pct"/>
            <w:vAlign w:val="center"/>
          </w:tcPr>
          <w:p>
            <w:pPr>
              <w:spacing w:line="48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时间（天）</w:t>
            </w:r>
          </w:p>
        </w:tc>
        <w:tc>
          <w:tcPr>
            <w:tcW w:w="1215" w:type="pct"/>
            <w:vAlign w:val="center"/>
          </w:tcPr>
          <w:p>
            <w:pPr>
              <w:spacing w:line="48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游览率（%）</w:t>
            </w:r>
          </w:p>
        </w:tc>
        <w:tc>
          <w:tcPr>
            <w:tcW w:w="1836" w:type="pct"/>
            <w:vAlign w:val="center"/>
          </w:tcPr>
          <w:p>
            <w:pPr>
              <w:spacing w:line="48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年游客量（万人/年）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83"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旺季</w:t>
            </w:r>
          </w:p>
        </w:tc>
        <w:tc>
          <w:tcPr>
            <w:tcW w:w="106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121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836"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83"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平季</w:t>
            </w:r>
          </w:p>
        </w:tc>
        <w:tc>
          <w:tcPr>
            <w:tcW w:w="106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21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836"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83"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淡季</w:t>
            </w:r>
          </w:p>
        </w:tc>
        <w:tc>
          <w:tcPr>
            <w:tcW w:w="106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21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836"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83"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总计</w:t>
            </w:r>
          </w:p>
        </w:tc>
        <w:tc>
          <w:tcPr>
            <w:tcW w:w="1065"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240</w:t>
            </w:r>
          </w:p>
        </w:tc>
        <w:tc>
          <w:tcPr>
            <w:tcW w:w="1215" w:type="pct"/>
            <w:vAlign w:val="center"/>
          </w:tcPr>
          <w:p>
            <w:pPr>
              <w:spacing w:line="480" w:lineRule="exact"/>
              <w:ind w:firstLine="0" w:firstLineChars="0"/>
              <w:jc w:val="center"/>
              <w:rPr>
                <w:rFonts w:hint="default" w:ascii="Times New Roman" w:hAnsi="Times New Roman" w:eastAsia="宋体" w:cs="Times New Roman"/>
                <w:sz w:val="21"/>
                <w:szCs w:val="21"/>
              </w:rPr>
            </w:pPr>
          </w:p>
        </w:tc>
        <w:tc>
          <w:tcPr>
            <w:tcW w:w="1836" w:type="pct"/>
            <w:vAlign w:val="center"/>
          </w:tcPr>
          <w:p>
            <w:pPr>
              <w:spacing w:line="48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61.21</w:t>
            </w:r>
          </w:p>
        </w:tc>
      </w:tr>
    </w:tbl>
    <w:p>
      <w:pPr>
        <w:pStyle w:val="3"/>
        <w:rPr>
          <w:rFonts w:hint="eastAsia"/>
          <w:lang w:val="en-US" w:eastAsia="zh-CN"/>
        </w:rPr>
      </w:pPr>
      <w:bookmarkStart w:id="78" w:name="_Toc20905"/>
      <w:r>
        <w:rPr>
          <w:rFonts w:hint="eastAsia"/>
          <w:lang w:val="en-US" w:eastAsia="zh-CN"/>
        </w:rPr>
        <w:t>第二节 客源市场分析</w:t>
      </w:r>
      <w:bookmarkEnd w:id="78"/>
    </w:p>
    <w:p>
      <w:pPr>
        <w:pStyle w:val="4"/>
        <w:rPr>
          <w:rFonts w:hint="eastAsia" w:ascii="宋体" w:hAnsi="宋体" w:eastAsia="宋体" w:cs="宋体"/>
          <w:lang w:val="en-US" w:eastAsia="zh-CN"/>
        </w:rPr>
      </w:pPr>
      <w:r>
        <w:rPr>
          <w:rFonts w:hint="eastAsia" w:ascii="宋体" w:hAnsi="宋体" w:eastAsia="宋体" w:cs="宋体"/>
          <w:lang w:val="en-US" w:eastAsia="zh-CN"/>
        </w:rPr>
        <w:t>一、地域空间定位</w:t>
      </w:r>
    </w:p>
    <w:p>
      <w:pPr>
        <w:keepNext w:val="0"/>
        <w:keepLines w:val="0"/>
        <w:pageBreakBefore w:val="0"/>
        <w:widowControl w:val="0"/>
        <w:kinsoku/>
        <w:wordWrap/>
        <w:overflowPunct/>
        <w:topLinePunct w:val="0"/>
        <w:autoSpaceDE/>
        <w:autoSpaceDN/>
        <w:bidi w:val="0"/>
        <w:adjustRightInd w:val="0"/>
        <w:snapToGrid w:val="0"/>
        <w:ind w:firstLine="560"/>
        <w:textAlignment w:val="auto"/>
        <w:rPr>
          <w:rFonts w:hint="eastAsia" w:ascii="宋体" w:hAnsi="宋体" w:eastAsia="宋体" w:cs="宋体"/>
        </w:rPr>
      </w:pPr>
      <w:r>
        <w:rPr>
          <w:rFonts w:hint="eastAsia" w:ascii="宋体" w:hAnsi="宋体" w:eastAsia="宋体" w:cs="宋体"/>
        </w:rPr>
        <w:t>以台前金水国家湿地公园的中转客源市场为依托，借台前为河南省东北门户的地理位置优势，京九铁路、晋豫鲁铁</w:t>
      </w:r>
      <w:r>
        <w:rPr>
          <w:rFonts w:hint="default" w:ascii="Times New Roman" w:hAnsi="Times New Roman" w:eastAsia="宋体" w:cs="Times New Roman"/>
        </w:rPr>
        <w:t>G342和S205之</w:t>
      </w:r>
      <w:r>
        <w:rPr>
          <w:rFonts w:hint="eastAsia" w:ascii="宋体" w:hAnsi="宋体" w:eastAsia="宋体" w:cs="宋体"/>
        </w:rPr>
        <w:t>利，立足于河南、山东城市圈，积极开拓中原经济区、环渤海经济圈的休闲度假、科普教育、文化体验和自驾游市场，逐步辐射整个华北地区，并努力向东北地区、长三角地区延伸，大力发展国内旅游，积极吸引国外游客。</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（一）一级客源市场分析</w:t>
      </w:r>
    </w:p>
    <w:p>
      <w:pPr>
        <w:tabs>
          <w:tab w:val="left" w:pos="1189"/>
        </w:tabs>
        <w:bidi w:val="0"/>
        <w:jc w:val="left"/>
        <w:rPr>
          <w:rFonts w:hint="eastAsia" w:eastAsia="宋体" w:cs="Times New Roman"/>
          <w:color w:val="auto"/>
          <w:sz w:val="28"/>
          <w:szCs w:val="28"/>
        </w:rPr>
      </w:pPr>
      <w:r>
        <w:rPr>
          <w:rFonts w:hint="eastAsia" w:eastAsia="宋体" w:cs="Times New Roman"/>
          <w:color w:val="auto"/>
          <w:sz w:val="28"/>
          <w:szCs w:val="28"/>
          <w:lang w:val="en-US" w:eastAsia="zh-CN"/>
        </w:rPr>
        <w:t>一级</w:t>
      </w:r>
      <w:r>
        <w:rPr>
          <w:rFonts w:hint="eastAsia" w:eastAsia="宋体" w:cs="Times New Roman"/>
          <w:color w:val="auto"/>
          <w:sz w:val="28"/>
          <w:szCs w:val="28"/>
        </w:rPr>
        <w:t>客源市场</w:t>
      </w:r>
      <w:r>
        <w:rPr>
          <w:rFonts w:hint="eastAsia" w:eastAsia="宋体" w:cs="Times New Roman"/>
          <w:color w:val="auto"/>
          <w:sz w:val="28"/>
          <w:szCs w:val="28"/>
          <w:lang w:val="en-US" w:eastAsia="zh-CN"/>
        </w:rPr>
        <w:t>是</w:t>
      </w:r>
      <w:r>
        <w:rPr>
          <w:rFonts w:hint="eastAsia" w:eastAsia="宋体" w:cs="Times New Roman"/>
          <w:color w:val="auto"/>
          <w:sz w:val="28"/>
          <w:szCs w:val="28"/>
        </w:rPr>
        <w:t>目标客源市场，游客数占目的地接待总人数比例最大，达40%以上。主要定位为以台前县及周边县区为主的濮阳市，以及周边河南安阳、鹤壁，河北邯郸，山东聊城、菏泽等城市。</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（二）二级客源市场分析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二级客源市场是基本客源市场，人数在目的地接待总人数中占相当比例。主要定位在以郑州为中心的中原经济区市场，以北京为中心的环渤海市场等。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（三）三级客源市场分析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三级客源市场是机会市场，即游客比较少的客源市场，如全国范围内的会议、商务、度假旅游市场；全国范围内的文化节事、民俗风情旅游市场；国际旅游商务、考察旅游市场等。</w:t>
      </w:r>
    </w:p>
    <w:p>
      <w:pPr>
        <w:pStyle w:val="4"/>
        <w:rPr>
          <w:rFonts w:hint="eastAsia" w:ascii="宋体" w:hAnsi="宋体" w:eastAsia="宋体" w:cs="宋体"/>
          <w:lang w:val="en-US" w:eastAsia="zh-CN"/>
        </w:rPr>
      </w:pPr>
      <w:r>
        <w:rPr>
          <w:rFonts w:hint="eastAsia" w:ascii="宋体" w:hAnsi="宋体" w:eastAsia="宋体" w:cs="宋体"/>
          <w:lang w:val="en-US" w:eastAsia="zh-CN"/>
        </w:rPr>
        <w:t>二、消费层次定位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以中档消费能力的休闲观光、科普体验客源为基础；</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以中高档消费能力的自驾游、度假客源为核心；</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以消费能力较强的户外探险和康体健身客源为补充。</w:t>
      </w:r>
    </w:p>
    <w:p>
      <w:pPr>
        <w:pStyle w:val="3"/>
        <w:tabs>
          <w:tab w:val="center" w:pos="4153"/>
          <w:tab w:val="left" w:pos="6725"/>
        </w:tabs>
        <w:jc w:val="left"/>
      </w:pPr>
      <w:r>
        <w:tab/>
      </w:r>
      <w:bookmarkStart w:id="79" w:name="_Toc32002"/>
      <w:r>
        <w:rPr>
          <w:rFonts w:hint="eastAsia"/>
          <w:lang w:val="en-US" w:eastAsia="zh-CN"/>
        </w:rPr>
        <w:t>第三节 游客规模预测</w:t>
      </w:r>
      <w:bookmarkEnd w:id="79"/>
      <w:r>
        <w:tab/>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目前尚无准确的游客量统计数据，公园内的游客主要以自驾、游赏观光为主。预期近期由于景点、旅游产品和各类设施尚未齐全，知名度不高，游客仍以本地游客为主；但随着交通逐步完善，景点的陆续建成，富有创意的产品策划和营销宣传，接待服务设施建设加快，旅游宣传影响力扩大，游客量会迅速增加，进入快速发展期；此后游客量会平稳发展，步入平稳期。</w:t>
      </w:r>
    </w:p>
    <w:p>
      <w:pPr>
        <w:pStyle w:val="4"/>
        <w:rPr>
          <w:rFonts w:hint="eastAsia" w:ascii="宋体" w:hAnsi="宋体" w:eastAsia="宋体" w:cs="宋体"/>
          <w:lang w:val="en-US" w:eastAsia="zh-CN"/>
        </w:rPr>
      </w:pPr>
      <w:r>
        <w:rPr>
          <w:rFonts w:hint="eastAsia" w:ascii="宋体" w:hAnsi="宋体" w:eastAsia="宋体" w:cs="宋体"/>
          <w:lang w:val="en-US" w:eastAsia="zh-CN"/>
        </w:rPr>
        <w:t>一、市场预测起点及基数的确定</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目前尚无公园内游客量的准确统计数据，根据现有的周边森林公园年接待量推算，得出基准年2021年整个森林公园的游客接待量为10万人并以此进行预估。根据公园特征、客源市场可开发目标，参照濮阳市近两年游客人次年增长率以及其他森林生态旅游游客量的发展趋势，综合预测本公园的游客量规模。因此本规划即按表5-4对未来的市场进行预测。</w:t>
      </w:r>
    </w:p>
    <w:p>
      <w:pPr>
        <w:pStyle w:val="4"/>
        <w:rPr>
          <w:rFonts w:hint="eastAsia" w:ascii="宋体" w:hAnsi="宋体" w:eastAsia="宋体" w:cs="宋体"/>
          <w:lang w:val="en-US" w:eastAsia="zh-CN"/>
        </w:rPr>
      </w:pPr>
      <w:r>
        <w:rPr>
          <w:rFonts w:hint="eastAsia" w:ascii="宋体" w:hAnsi="宋体" w:eastAsia="宋体" w:cs="宋体"/>
          <w:lang w:val="en-US" w:eastAsia="zh-CN"/>
        </w:rPr>
        <w:t>二、游客规模年际变化</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根据旅游地生命周期理论，旅游地的开发大致要经历探索、参与、发展、巩固、停滞、衰退或复苏等六个阶段。为了实际研究的需要，通常将上述六个阶段归纳为初创期、发展期、成熟期和衰退期四个阶段。每个不同的阶段其发展速度不同，在初创期和发展期基本上会出现一些跳跃性或井喷式的发展，但在成熟期则保持与社会经济发展一般水平相适应。经验表明，我国平稳期的发展基本上以8%为准。经初步预测，西凤省级森林公园2030年左右将逐步进入稳步发展阶段。 </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西凤省级森林公园的开发分期，2021-2024年为近期，2025-2030年为远期。根据上述理论，把近期作为西凤省级森林公园的初创期和发展期进行预测，把远期作为平稳发展期进行预测。在规划近期，由于森林公园的开发程度较低，许多基础设施建设需要一定时间，因此预测市场会在初创期出现一个逐步增长阶段，其最快增长可以达到30%。随着各种旅游项目的相继完成和基础旅游设施的稳固，森林公园将2024年进入快速发展阶段，最高可到30%。之后，经过快速发展阶段之后，森林公园将在2030年之后进入平稳发展期，预计这个阶段的发展可达到5~15%。经过实地考察和理论推算，结合森林公园的旅游资源特点、未来发展趋势和周边客源市场特点等相关因素，预测西凤省级森林公园的旅游人次年际规模发展如表5-4。</w:t>
      </w:r>
    </w:p>
    <w:p>
      <w:pPr>
        <w:widowControl/>
        <w:adjustRightInd/>
        <w:snapToGrid/>
        <w:spacing w:line="360" w:lineRule="auto"/>
        <w:ind w:firstLine="480" w:firstLineChars="0"/>
        <w:jc w:val="center"/>
        <w:rPr>
          <w:rFonts w:hint="eastAsia" w:ascii="黑体" w:hAnsi="黑体" w:eastAsia="黑体" w:cs="Times New Roman"/>
          <w:color w:val="auto"/>
          <w:sz w:val="24"/>
        </w:rPr>
      </w:pPr>
      <w:r>
        <w:rPr>
          <w:rFonts w:hint="eastAsia" w:ascii="黑体" w:hAnsi="黑体" w:eastAsia="黑体" w:cs="Times New Roman"/>
          <w:color w:val="auto"/>
          <w:sz w:val="24"/>
          <w:lang w:val="en-US" w:eastAsia="zh-CN"/>
        </w:rPr>
        <w:t xml:space="preserve">               </w:t>
      </w:r>
      <w:r>
        <w:rPr>
          <w:rFonts w:hint="eastAsia" w:ascii="黑体" w:hAnsi="黑体" w:eastAsia="黑体" w:cs="Times New Roman"/>
          <w:color w:val="auto"/>
          <w:sz w:val="24"/>
        </w:rPr>
        <w:t>表</w:t>
      </w:r>
      <w:r>
        <w:rPr>
          <w:rFonts w:ascii="黑体" w:hAnsi="黑体" w:eastAsia="黑体" w:cs="Times New Roman"/>
          <w:color w:val="auto"/>
          <w:sz w:val="24"/>
        </w:rPr>
        <w:t xml:space="preserve">5-4 </w:t>
      </w:r>
      <w:r>
        <w:rPr>
          <w:rFonts w:hint="eastAsia" w:ascii="黑体" w:hAnsi="黑体" w:eastAsia="黑体" w:cs="Times New Roman"/>
          <w:color w:val="auto"/>
          <w:sz w:val="24"/>
        </w:rPr>
        <w:t>旅游人次规模预测表</w:t>
      </w:r>
      <w:r>
        <w:rPr>
          <w:rFonts w:hint="eastAsia" w:ascii="黑体" w:hAnsi="黑体" w:eastAsia="黑体" w:cs="Times New Roman"/>
          <w:color w:val="auto"/>
          <w:sz w:val="24"/>
          <w:lang w:val="en-US" w:eastAsia="zh-CN"/>
        </w:rPr>
        <w:t xml:space="preserve">             </w:t>
      </w:r>
      <w:r>
        <w:rPr>
          <w:rFonts w:hint="eastAsia" w:ascii="黑体" w:hAnsi="黑体" w:eastAsia="黑体" w:cs="Times New Roman"/>
          <w:color w:val="auto"/>
          <w:sz w:val="24"/>
        </w:rPr>
        <w:t>单位：万人次</w:t>
      </w:r>
    </w:p>
    <w:tbl>
      <w:tblPr>
        <w:tblStyle w:val="12"/>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4"/>
        <w:gridCol w:w="1447"/>
        <w:gridCol w:w="1445"/>
        <w:gridCol w:w="1445"/>
        <w:gridCol w:w="1447"/>
        <w:gridCol w:w="14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bookmarkStart w:id="80" w:name="OLE_LINK4"/>
            <w:r>
              <w:rPr>
                <w:rFonts w:hint="default" w:ascii="Times New Roman" w:hAnsi="Times New Roman" w:eastAsia="宋体" w:cs="Times New Roman"/>
                <w:b/>
                <w:sz w:val="21"/>
                <w:szCs w:val="21"/>
              </w:rPr>
              <w:t>年份</w:t>
            </w:r>
          </w:p>
        </w:tc>
        <w:tc>
          <w:tcPr>
            <w:tcW w:w="834"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增长率</w:t>
            </w:r>
          </w:p>
        </w:tc>
        <w:tc>
          <w:tcPr>
            <w:tcW w:w="833"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人次规模</w:t>
            </w:r>
          </w:p>
        </w:tc>
        <w:tc>
          <w:tcPr>
            <w:tcW w:w="833"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年份</w:t>
            </w:r>
          </w:p>
        </w:tc>
        <w:tc>
          <w:tcPr>
            <w:tcW w:w="834"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增长率</w:t>
            </w:r>
          </w:p>
        </w:tc>
        <w:tc>
          <w:tcPr>
            <w:tcW w:w="834"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人次规模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1</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6</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2</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7</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3</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8</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4</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17.16</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9</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32" w:type="pct"/>
            <w:vAlign w:val="center"/>
          </w:tcPr>
          <w:p>
            <w:pPr>
              <w:topLinePunct/>
              <w:spacing w:line="360" w:lineRule="exact"/>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5</w:t>
            </w:r>
          </w:p>
        </w:tc>
        <w:tc>
          <w:tcPr>
            <w:tcW w:w="834"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21.45</w:t>
            </w:r>
          </w:p>
        </w:tc>
        <w:tc>
          <w:tcPr>
            <w:tcW w:w="833"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30</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34" w:type="pct"/>
            <w:vAlign w:val="center"/>
          </w:tcPr>
          <w:p>
            <w:pPr>
              <w:topLinePunct/>
              <w:snapToGrid/>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39.32</w:t>
            </w:r>
          </w:p>
        </w:tc>
      </w:tr>
      <w:bookmarkEnd w:id="80"/>
    </w:tbl>
    <w:p>
      <w:pPr>
        <w:ind w:firstLine="0" w:firstLineChars="0"/>
      </w:pPr>
    </w:p>
    <w:p>
      <w:pPr>
        <w:widowControl/>
        <w:adjustRightInd/>
        <w:snapToGrid/>
        <w:spacing w:line="240" w:lineRule="auto"/>
        <w:ind w:firstLine="0" w:firstLineChars="0"/>
        <w:jc w:val="left"/>
        <w:rPr>
          <w:rFonts w:eastAsia="黑体"/>
          <w:kern w:val="44"/>
          <w:sz w:val="44"/>
        </w:rPr>
      </w:pPr>
      <w: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81" w:name="_Toc14154"/>
      <w:r>
        <w:rPr>
          <w:rFonts w:hint="eastAsia" w:cs="Times New Roman"/>
          <w:b w:val="0"/>
          <w:bCs w:val="0"/>
          <w:i w:val="0"/>
          <w:iCs/>
          <w:color w:val="auto"/>
          <w:kern w:val="44"/>
          <w:szCs w:val="44"/>
        </w:rPr>
        <w:t>第六章 景点与游览线路规划</w:t>
      </w:r>
      <w:bookmarkEnd w:id="81"/>
    </w:p>
    <w:p>
      <w:pPr>
        <w:pStyle w:val="3"/>
        <w:rPr>
          <w:rFonts w:hint="eastAsia"/>
          <w:lang w:val="en-US" w:eastAsia="zh-CN"/>
        </w:rPr>
      </w:pPr>
      <w:bookmarkStart w:id="82" w:name="_Toc10406"/>
      <w:r>
        <w:rPr>
          <w:rFonts w:hint="eastAsia"/>
          <w:lang w:val="en-US" w:eastAsia="zh-CN"/>
        </w:rPr>
        <w:t>第一节 景点规划</w:t>
      </w:r>
      <w:bookmarkEnd w:id="82"/>
    </w:p>
    <w:p>
      <w:pPr>
        <w:pStyle w:val="4"/>
        <w:rPr>
          <w:rFonts w:hint="eastAsia" w:ascii="宋体" w:hAnsi="宋体" w:eastAsia="宋体" w:cs="宋体"/>
          <w:lang w:val="en-US" w:eastAsia="zh-CN"/>
        </w:rPr>
      </w:pPr>
      <w:r>
        <w:rPr>
          <w:rFonts w:hint="eastAsia" w:ascii="宋体" w:hAnsi="宋体" w:eastAsia="宋体" w:cs="宋体"/>
          <w:lang w:val="en-US" w:eastAsia="zh-CN"/>
        </w:rPr>
        <w:t>一、规划原则</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（一）保护优先原则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西凤森林公园的景点规划必须要以保护作为首要的出发点，以公园自然资源和人文资源为依托，加强对其保护，使景观资源得到可持续发展利用。</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（二）整体优化原则</w:t>
      </w:r>
    </w:p>
    <w:p>
      <w:pPr>
        <w:widowControl/>
        <w:adjustRightInd/>
        <w:snapToGrid/>
        <w:spacing w:line="360" w:lineRule="auto"/>
        <w:ind w:firstLine="560" w:firstLineChars="0"/>
        <w:jc w:val="both"/>
        <w:rPr>
          <w:rFonts w:hint="eastAsia"/>
          <w:lang w:eastAsia="zh-CN"/>
        </w:rPr>
      </w:pPr>
      <w:r>
        <w:rPr>
          <w:rFonts w:hint="eastAsia" w:eastAsia="宋体" w:cs="Times New Roman"/>
          <w:color w:val="auto"/>
          <w:sz w:val="28"/>
          <w:szCs w:val="28"/>
          <w:lang w:val="en-US" w:eastAsia="zh-CN"/>
        </w:rPr>
        <w:t>森林公园不仅有生物和环境条件因素，还包括人类活动的社会、政治、经济条件，是多因子、多层次组成的集食、住、行、游、购、娱等于一体的综合产业，因此应该从整体出发、综合衡量、全面考虑，实现整体最优化利用。　</w:t>
      </w:r>
      <w:r>
        <w:rPr>
          <w:rFonts w:hint="eastAsia" w:eastAsia="宋体" w:cs="Times New Roman"/>
          <w:color w:val="auto"/>
          <w:sz w:val="28"/>
          <w:szCs w:val="28"/>
          <w:lang w:eastAsia="zh-CN"/>
        </w:rPr>
        <w:t>　</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（三）突出景观特色和个性原则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的景点规划应围绕生态保护、科普宣教、康体养生、休闲度假、文化展示五大主题安排，突出公园特色与个性。保护公园的原始性和自然性，保持当地独特的自然资源及具有地方特色的风土人情；同时也要坚持以自然景观、人文历史遗迹等资源的开发，充分体现本地特色，挖掘自然景观的美学、文化及艺术价值，以满足不同层次游人的观赏要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（四）动静结合原则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的景点规划要注重动静结合，依据风景透视原理合理确定景点视场，结合自然地形、地物设置，规划静态空间；同时统一多样的风景序列，串联活泼鲜明的风景节奏，利用自然植被的季相交替，河流水系、道路、林缘线等的走向营造动态景观；使得静态空间与动态景观紧密结合，构成一个有机的艺术整体。</w:t>
      </w:r>
    </w:p>
    <w:p>
      <w:pPr>
        <w:pStyle w:val="4"/>
        <w:rPr>
          <w:rFonts w:hint="eastAsia" w:ascii="宋体" w:hAnsi="宋体" w:eastAsia="宋体" w:cs="宋体"/>
          <w:lang w:val="en-US" w:eastAsia="zh-CN"/>
        </w:rPr>
      </w:pPr>
      <w:r>
        <w:rPr>
          <w:rFonts w:hint="eastAsia" w:ascii="宋体" w:hAnsi="宋体" w:eastAsia="宋体" w:cs="宋体"/>
          <w:lang w:val="en-US" w:eastAsia="zh-CN"/>
        </w:rPr>
        <w:t>二、景点规划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景点规划原则以及公园森林风景资源的分析、评价，结合风景游赏组织的要求，科学合理地规划景点，共规划景点8处，其中，森林旅游区景点6处，管理服务区及生产经营区景点各1处。具体景点规划内容见表6-1。</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left="0" w:leftChars="0" w:firstLine="0" w:firstLineChars="0"/>
        <w:jc w:val="both"/>
        <w:rPr>
          <w:rFonts w:hint="eastAsia" w:eastAsia="宋体" w:cs="Times New Roman"/>
          <w:color w:val="auto"/>
          <w:sz w:val="28"/>
          <w:szCs w:val="28"/>
          <w:lang w:val="en-US" w:eastAsia="zh-CN"/>
        </w:rPr>
      </w:pPr>
    </w:p>
    <w:p>
      <w:pPr>
        <w:widowControl/>
        <w:adjustRightInd/>
        <w:snapToGrid/>
        <w:spacing w:line="360" w:lineRule="auto"/>
        <w:ind w:firstLine="480" w:firstLineChars="0"/>
        <w:jc w:val="center"/>
        <w:rPr>
          <w:rFonts w:ascii="黑体" w:hAnsi="黑体" w:eastAsia="黑体" w:cs="Times New Roman"/>
          <w:color w:val="auto"/>
          <w:sz w:val="24"/>
          <w:highlight w:val="none"/>
        </w:rPr>
      </w:pPr>
      <w:r>
        <w:rPr>
          <w:rFonts w:ascii="黑体" w:hAnsi="黑体" w:eastAsia="黑体" w:cs="Times New Roman"/>
          <w:color w:val="auto"/>
          <w:sz w:val="24"/>
          <w:highlight w:val="none"/>
        </w:rPr>
        <w:t>表</w:t>
      </w:r>
      <w:r>
        <w:rPr>
          <w:rFonts w:hint="eastAsia" w:ascii="黑体" w:hAnsi="黑体" w:eastAsia="黑体" w:cs="Times New Roman"/>
          <w:color w:val="auto"/>
          <w:sz w:val="24"/>
          <w:highlight w:val="none"/>
        </w:rPr>
        <w:t>6</w:t>
      </w:r>
      <w:r>
        <w:rPr>
          <w:rFonts w:ascii="黑体" w:hAnsi="黑体" w:eastAsia="黑体" w:cs="Times New Roman"/>
          <w:color w:val="auto"/>
          <w:sz w:val="24"/>
          <w:highlight w:val="none"/>
        </w:rPr>
        <w:t>-1 景点规划表</w:t>
      </w:r>
    </w:p>
    <w:tbl>
      <w:tblPr>
        <w:tblStyle w:val="12"/>
        <w:tblW w:w="5000" w:type="pct"/>
        <w:tblInd w:w="0" w:type="dxa"/>
        <w:tblLayout w:type="fixed"/>
        <w:tblCellMar>
          <w:top w:w="0" w:type="dxa"/>
          <w:left w:w="108" w:type="dxa"/>
          <w:bottom w:w="0" w:type="dxa"/>
          <w:right w:w="108" w:type="dxa"/>
        </w:tblCellMar>
      </w:tblPr>
      <w:tblGrid>
        <w:gridCol w:w="477"/>
        <w:gridCol w:w="457"/>
        <w:gridCol w:w="833"/>
        <w:gridCol w:w="1467"/>
        <w:gridCol w:w="1928"/>
        <w:gridCol w:w="3360"/>
      </w:tblGrid>
      <w:tr>
        <w:tblPrEx>
          <w:tblCellMar>
            <w:top w:w="0" w:type="dxa"/>
            <w:left w:w="108" w:type="dxa"/>
            <w:bottom w:w="0" w:type="dxa"/>
            <w:right w:w="108" w:type="dxa"/>
          </w:tblCellMar>
        </w:tblPrEx>
        <w:trPr>
          <w:trHeight w:val="270" w:hRule="atLeast"/>
          <w:tblHeader/>
        </w:trPr>
        <w:tc>
          <w:tcPr>
            <w:tcW w:w="279"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序号</w:t>
            </w:r>
          </w:p>
        </w:tc>
        <w:tc>
          <w:tcPr>
            <w:tcW w:w="268" w:type="pct"/>
            <w:tcBorders>
              <w:top w:val="single" w:color="auto" w:sz="4" w:space="0"/>
              <w:left w:val="nil"/>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功能区</w:t>
            </w:r>
          </w:p>
        </w:tc>
        <w:tc>
          <w:tcPr>
            <w:tcW w:w="488" w:type="pct"/>
            <w:tcBorders>
              <w:top w:val="single" w:color="auto" w:sz="4" w:space="0"/>
              <w:left w:val="nil"/>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景点</w:t>
            </w:r>
          </w:p>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名称</w:t>
            </w:r>
          </w:p>
        </w:tc>
        <w:tc>
          <w:tcPr>
            <w:tcW w:w="860" w:type="pct"/>
            <w:tcBorders>
              <w:top w:val="single" w:color="auto" w:sz="4" w:space="0"/>
              <w:left w:val="nil"/>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位置</w:t>
            </w:r>
          </w:p>
        </w:tc>
        <w:tc>
          <w:tcPr>
            <w:tcW w:w="1131" w:type="pct"/>
            <w:tcBorders>
              <w:top w:val="single" w:color="auto" w:sz="4" w:space="0"/>
              <w:left w:val="nil"/>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现状</w:t>
            </w:r>
          </w:p>
        </w:tc>
        <w:tc>
          <w:tcPr>
            <w:tcW w:w="1971" w:type="pct"/>
            <w:tcBorders>
              <w:top w:val="single" w:color="auto" w:sz="4" w:space="0"/>
              <w:left w:val="nil"/>
              <w:bottom w:val="single" w:color="auto" w:sz="4" w:space="0"/>
              <w:right w:val="single" w:color="auto" w:sz="4" w:space="0"/>
            </w:tcBorders>
            <w:shd w:val="clear" w:color="000000" w:fill="auto"/>
            <w:vAlign w:val="center"/>
          </w:tcPr>
          <w:p>
            <w:pPr>
              <w:widowControl/>
              <w:adjustRightInd/>
              <w:snapToGrid/>
              <w:spacing w:line="240" w:lineRule="auto"/>
              <w:ind w:firstLine="0" w:firstLineChars="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规划设想</w:t>
            </w:r>
          </w:p>
        </w:tc>
      </w:tr>
      <w:tr>
        <w:tblPrEx>
          <w:tblCellMar>
            <w:top w:w="0" w:type="dxa"/>
            <w:left w:w="108" w:type="dxa"/>
            <w:bottom w:w="0" w:type="dxa"/>
            <w:right w:w="108" w:type="dxa"/>
          </w:tblCellMar>
        </w:tblPrEx>
        <w:trPr>
          <w:trHeight w:val="940"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1</w:t>
            </w:r>
          </w:p>
        </w:tc>
        <w:tc>
          <w:tcPr>
            <w:tcW w:w="268"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森林旅游区</w:t>
            </w: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曲径通幽</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公园东北处</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rPr>
              <w:t>土质</w:t>
            </w:r>
            <w:r>
              <w:rPr>
                <w:rFonts w:hint="default" w:ascii="Times New Roman" w:hAnsi="Times New Roman" w:eastAsia="宋体" w:cs="Times New Roman"/>
                <w:kern w:val="0"/>
                <w:sz w:val="21"/>
                <w:szCs w:val="21"/>
                <w:highlight w:val="none"/>
                <w:lang w:val="en-US" w:eastAsia="zh-CN"/>
              </w:rPr>
              <w:t>游步道</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规划设置</w:t>
            </w:r>
            <w:r>
              <w:rPr>
                <w:rFonts w:hint="default" w:ascii="Times New Roman" w:hAnsi="Times New Roman" w:eastAsia="宋体" w:cs="Times New Roman"/>
                <w:kern w:val="0"/>
                <w:sz w:val="21"/>
                <w:szCs w:val="21"/>
                <w:highlight w:val="none"/>
              </w:rPr>
              <w:t>游步道和休憩设施</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丰富道路周边景观，营造静谧空间</w:t>
            </w:r>
            <w:r>
              <w:rPr>
                <w:rFonts w:hint="default" w:ascii="Times New Roman" w:hAnsi="Times New Roman" w:eastAsia="宋体" w:cs="Times New Roman"/>
                <w:kern w:val="0"/>
                <w:sz w:val="21"/>
                <w:szCs w:val="21"/>
                <w:highlight w:val="none"/>
              </w:rPr>
              <w:t>。</w:t>
            </w:r>
          </w:p>
        </w:tc>
      </w:tr>
      <w:tr>
        <w:tblPrEx>
          <w:tblCellMar>
            <w:top w:w="0" w:type="dxa"/>
            <w:left w:w="108" w:type="dxa"/>
            <w:bottom w:w="0" w:type="dxa"/>
            <w:right w:w="108" w:type="dxa"/>
          </w:tblCellMar>
        </w:tblPrEx>
        <w:trPr>
          <w:trHeight w:val="1453"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2</w:t>
            </w:r>
          </w:p>
        </w:tc>
        <w:tc>
          <w:tcPr>
            <w:tcW w:w="268" w:type="pct"/>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竹岛听风</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公园西部入口附近</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现为稀疏林地</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规划种植早园竹、金镶玉竹、黄金间碧竹等，竹林内增设游步道和休憩设施，打造集康养休憩、观光休闲的静谧空间</w:t>
            </w:r>
          </w:p>
        </w:tc>
      </w:tr>
      <w:tr>
        <w:tblPrEx>
          <w:tblCellMar>
            <w:top w:w="0" w:type="dxa"/>
            <w:left w:w="108" w:type="dxa"/>
            <w:bottom w:w="0" w:type="dxa"/>
            <w:right w:w="108" w:type="dxa"/>
          </w:tblCellMar>
        </w:tblPrEx>
        <w:trPr>
          <w:trHeight w:val="810"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3</w:t>
            </w:r>
          </w:p>
        </w:tc>
        <w:tc>
          <w:tcPr>
            <w:tcW w:w="268" w:type="pct"/>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金堤余韵</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公园最北部，靠近金堤河</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华山松、白皮松为主的针叶林植被</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借助金堤河景观，规划独具特色的水系景观</w:t>
            </w:r>
          </w:p>
        </w:tc>
      </w:tr>
      <w:tr>
        <w:tblPrEx>
          <w:tblCellMar>
            <w:top w:w="0" w:type="dxa"/>
            <w:left w:w="108" w:type="dxa"/>
            <w:bottom w:w="0" w:type="dxa"/>
            <w:right w:w="108" w:type="dxa"/>
          </w:tblCellMar>
        </w:tblPrEx>
        <w:trPr>
          <w:trHeight w:val="884"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4</w:t>
            </w:r>
          </w:p>
        </w:tc>
        <w:tc>
          <w:tcPr>
            <w:tcW w:w="268" w:type="pct"/>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杉林寻鹭</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水杉林处</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稀疏的水杉林</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补植水杉，增加地被和草本观花植物，打造杉林景观</w:t>
            </w:r>
          </w:p>
        </w:tc>
      </w:tr>
      <w:tr>
        <w:tblPrEx>
          <w:tblCellMar>
            <w:top w:w="0" w:type="dxa"/>
            <w:left w:w="108" w:type="dxa"/>
            <w:bottom w:w="0" w:type="dxa"/>
            <w:right w:w="108" w:type="dxa"/>
          </w:tblCellMar>
        </w:tblPrEx>
        <w:trPr>
          <w:trHeight w:val="1124"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5</w:t>
            </w:r>
          </w:p>
        </w:tc>
        <w:tc>
          <w:tcPr>
            <w:tcW w:w="268" w:type="pct"/>
            <w:vMerge w:val="continue"/>
            <w:tcBorders>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秋色如染</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梁庙沟西北侧</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长势一般的银杏</w:t>
            </w:r>
            <w:r>
              <w:rPr>
                <w:rFonts w:hint="eastAsia" w:eastAsia="宋体" w:cs="Times New Roman"/>
                <w:kern w:val="0"/>
                <w:sz w:val="21"/>
                <w:szCs w:val="21"/>
                <w:highlight w:val="none"/>
                <w:lang w:val="en-US" w:eastAsia="zh-CN"/>
              </w:rPr>
              <w:t>林</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规划种植</w:t>
            </w:r>
            <w:r>
              <w:rPr>
                <w:rFonts w:hint="default" w:ascii="Times New Roman" w:hAnsi="Times New Roman" w:eastAsia="宋体" w:cs="Times New Roman"/>
                <w:kern w:val="0"/>
                <w:sz w:val="21"/>
                <w:szCs w:val="21"/>
                <w:highlight w:val="none"/>
              </w:rPr>
              <w:t>银杏、三角槭</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红枫、栾树</w:t>
            </w:r>
            <w:r>
              <w:rPr>
                <w:rFonts w:hint="default" w:ascii="Times New Roman" w:hAnsi="Times New Roman" w:eastAsia="宋体" w:cs="Times New Roman"/>
                <w:kern w:val="0"/>
                <w:sz w:val="21"/>
                <w:szCs w:val="21"/>
                <w:highlight w:val="none"/>
              </w:rPr>
              <w:t>等</w:t>
            </w:r>
            <w:r>
              <w:rPr>
                <w:rFonts w:hint="default" w:ascii="Times New Roman" w:hAnsi="Times New Roman" w:eastAsia="宋体" w:cs="Times New Roman"/>
                <w:kern w:val="0"/>
                <w:sz w:val="21"/>
                <w:szCs w:val="21"/>
                <w:highlight w:val="none"/>
                <w:lang w:val="en-US" w:eastAsia="zh-CN"/>
              </w:rPr>
              <w:t>秋季观赏树种</w:t>
            </w:r>
          </w:p>
        </w:tc>
      </w:tr>
      <w:tr>
        <w:tblPrEx>
          <w:tblCellMar>
            <w:top w:w="0" w:type="dxa"/>
            <w:left w:w="108" w:type="dxa"/>
            <w:bottom w:w="0" w:type="dxa"/>
            <w:right w:w="108" w:type="dxa"/>
          </w:tblCellMar>
        </w:tblPrEx>
        <w:trPr>
          <w:trHeight w:val="1356"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6</w:t>
            </w:r>
          </w:p>
        </w:tc>
        <w:tc>
          <w:tcPr>
            <w:tcW w:w="268"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碧水迎宾</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公园中心水域交汇处</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滨水广场，设有木栈道，但水域无植物，休憩设施少，</w:t>
            </w:r>
            <w:r>
              <w:rPr>
                <w:rFonts w:hint="eastAsia" w:eastAsia="宋体" w:cs="Times New Roman"/>
                <w:kern w:val="0"/>
                <w:sz w:val="21"/>
                <w:szCs w:val="21"/>
                <w:highlight w:val="none"/>
                <w:lang w:val="en-US" w:eastAsia="zh-CN"/>
              </w:rPr>
              <w:t>缺少</w:t>
            </w:r>
            <w:r>
              <w:rPr>
                <w:rFonts w:hint="default" w:ascii="Times New Roman" w:hAnsi="Times New Roman" w:eastAsia="宋体" w:cs="Times New Roman"/>
                <w:kern w:val="0"/>
                <w:sz w:val="21"/>
                <w:szCs w:val="21"/>
                <w:highlight w:val="none"/>
                <w:lang w:val="en-US" w:eastAsia="zh-CN"/>
              </w:rPr>
              <w:t>美感</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布设亲水平台，种植水生植物，增加凉亭及座椅等休憩设施</w:t>
            </w:r>
          </w:p>
        </w:tc>
      </w:tr>
      <w:tr>
        <w:tblPrEx>
          <w:tblCellMar>
            <w:top w:w="0" w:type="dxa"/>
            <w:left w:w="108" w:type="dxa"/>
            <w:bottom w:w="0" w:type="dxa"/>
            <w:right w:w="108" w:type="dxa"/>
          </w:tblCellMar>
        </w:tblPrEx>
        <w:trPr>
          <w:trHeight w:val="540"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7</w:t>
            </w:r>
          </w:p>
        </w:tc>
        <w:tc>
          <w:tcPr>
            <w:tcW w:w="268"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管理服务区</w:t>
            </w: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森林文化广场</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南部入口处</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已建入口广场</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规划设置独具台前特色的森林文化广场，广场内融入周边可借景观资源介绍，以及西凤森林公园的基本情况等</w:t>
            </w:r>
          </w:p>
        </w:tc>
      </w:tr>
      <w:tr>
        <w:tblPrEx>
          <w:tblCellMar>
            <w:top w:w="0" w:type="dxa"/>
            <w:left w:w="108" w:type="dxa"/>
            <w:bottom w:w="0" w:type="dxa"/>
            <w:right w:w="108" w:type="dxa"/>
          </w:tblCellMar>
        </w:tblPrEx>
        <w:trPr>
          <w:trHeight w:val="2035" w:hRule="atLeast"/>
        </w:trPr>
        <w:tc>
          <w:tcPr>
            <w:tcW w:w="279"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8</w:t>
            </w:r>
          </w:p>
        </w:tc>
        <w:tc>
          <w:tcPr>
            <w:tcW w:w="268"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生产经营区</w:t>
            </w:r>
          </w:p>
        </w:tc>
        <w:tc>
          <w:tcPr>
            <w:tcW w:w="48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果林识香</w:t>
            </w:r>
          </w:p>
        </w:tc>
        <w:tc>
          <w:tcPr>
            <w:tcW w:w="86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森林文化广场东侧生产经营区内</w:t>
            </w:r>
          </w:p>
        </w:tc>
        <w:tc>
          <w:tcPr>
            <w:tcW w:w="113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核桃、苹果、银杏林</w:t>
            </w:r>
          </w:p>
        </w:tc>
        <w:tc>
          <w:tcPr>
            <w:tcW w:w="197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lang w:val="en-US" w:eastAsia="zh-CN"/>
              </w:rPr>
              <w:t>规划</w:t>
            </w:r>
            <w:r>
              <w:rPr>
                <w:rFonts w:hint="default" w:ascii="Times New Roman" w:hAnsi="Times New Roman" w:eastAsia="宋体" w:cs="Times New Roman"/>
                <w:kern w:val="0"/>
                <w:sz w:val="21"/>
                <w:szCs w:val="21"/>
                <w:highlight w:val="none"/>
              </w:rPr>
              <w:t>种植核桃</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枣</w:t>
            </w: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kern w:val="0"/>
                <w:sz w:val="21"/>
                <w:szCs w:val="21"/>
                <w:highlight w:val="none"/>
                <w:lang w:val="en-US" w:eastAsia="zh-CN"/>
              </w:rPr>
              <w:t>樱桃</w:t>
            </w:r>
            <w:r>
              <w:rPr>
                <w:rFonts w:hint="default" w:ascii="Times New Roman" w:hAnsi="Times New Roman" w:eastAsia="宋体" w:cs="Times New Roman"/>
                <w:kern w:val="0"/>
                <w:sz w:val="21"/>
                <w:szCs w:val="21"/>
                <w:highlight w:val="none"/>
              </w:rPr>
              <w:t>、枇杷、杨梅</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苹果</w:t>
            </w:r>
            <w:r>
              <w:rPr>
                <w:rFonts w:hint="default" w:ascii="Times New Roman" w:hAnsi="Times New Roman" w:eastAsia="宋体" w:cs="Times New Roman"/>
                <w:kern w:val="0"/>
                <w:sz w:val="21"/>
                <w:szCs w:val="21"/>
                <w:highlight w:val="none"/>
              </w:rPr>
              <w:t>等</w:t>
            </w:r>
            <w:r>
              <w:rPr>
                <w:rFonts w:hint="default" w:ascii="Times New Roman" w:hAnsi="Times New Roman" w:eastAsia="宋体" w:cs="Times New Roman"/>
                <w:kern w:val="0"/>
                <w:sz w:val="21"/>
                <w:szCs w:val="21"/>
                <w:highlight w:val="none"/>
                <w:lang w:val="en-US" w:eastAsia="zh-CN"/>
              </w:rPr>
              <w:t>不同</w:t>
            </w:r>
            <w:r>
              <w:rPr>
                <w:rFonts w:hint="default" w:ascii="Times New Roman" w:hAnsi="Times New Roman" w:eastAsia="宋体" w:cs="Times New Roman"/>
                <w:kern w:val="0"/>
                <w:sz w:val="21"/>
                <w:szCs w:val="21"/>
                <w:highlight w:val="none"/>
              </w:rPr>
              <w:t>季节水果品种，并搭配生态农业作物，形成新型农林体验区，吸引游客开展采摘主题旅游活动</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rPr>
              <w:t>推动地方休闲旅游经济</w:t>
            </w:r>
          </w:p>
        </w:tc>
      </w:tr>
    </w:tbl>
    <w:p>
      <w:pPr>
        <w:pStyle w:val="3"/>
        <w:rPr>
          <w:rFonts w:hint="eastAsia"/>
          <w:lang w:val="en-US" w:eastAsia="zh-CN"/>
        </w:rPr>
      </w:pPr>
      <w:bookmarkStart w:id="83" w:name="_Toc13410"/>
      <w:r>
        <w:rPr>
          <w:rFonts w:hint="eastAsia"/>
          <w:lang w:val="en-US" w:eastAsia="zh-CN"/>
        </w:rPr>
        <w:t>第二节 游览线路规划</w:t>
      </w:r>
      <w:bookmarkEnd w:id="83"/>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旅游路线规划在有利于森林公园景观资源开发和环境保护的前提下，本着方便、快捷、安全、经济、舒适的原则，让游客在尽可能短的时间内，观赏到景观精华，感受和利用森林公园的各种效益功能。</w:t>
      </w:r>
    </w:p>
    <w:p>
      <w:pPr>
        <w:pStyle w:val="4"/>
        <w:rPr>
          <w:rFonts w:hint="eastAsia" w:ascii="宋体" w:hAnsi="宋体" w:eastAsia="宋体" w:cs="宋体"/>
          <w:lang w:val="en-US" w:eastAsia="zh-CN"/>
        </w:rPr>
      </w:pPr>
      <w:r>
        <w:rPr>
          <w:rFonts w:hint="eastAsia" w:ascii="宋体" w:hAnsi="宋体" w:eastAsia="宋体" w:cs="宋体"/>
          <w:lang w:val="en-US" w:eastAsia="zh-CN"/>
        </w:rPr>
        <w:t>一、游览方式</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根据西凤省级森林公园景观资源的特点，结合地形地势等自然地理条件，游览方式以陆游为主，分为步行游览和乘车游览两种形式。</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（一）步行游览</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步行游览是在森林公园中，从车行道至主要景点，或景点相互间以步行为主的游览方式。步行游览是森林公园主要的游览方式。</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（二）乘车游览</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沿着公园内主园路可乘车旅游。</w:t>
      </w:r>
      <w:r>
        <w:rPr>
          <w:rFonts w:hint="eastAsia" w:eastAsia="宋体" w:cs="Times New Roman"/>
          <w:color w:val="auto"/>
          <w:sz w:val="28"/>
          <w:szCs w:val="28"/>
          <w:lang w:val="en-US" w:eastAsia="zh-CN"/>
        </w:rPr>
        <w:t>主</w:t>
      </w:r>
      <w:r>
        <w:rPr>
          <w:rFonts w:hint="eastAsia" w:eastAsia="宋体" w:cs="Times New Roman"/>
          <w:color w:val="auto"/>
          <w:sz w:val="28"/>
          <w:szCs w:val="28"/>
        </w:rPr>
        <w:t>园路为一环形道路，乘车旅游能节省旅游时间，减少游客的体力消耗，增加游客的旅游舒适度。</w:t>
      </w:r>
    </w:p>
    <w:p>
      <w:pPr>
        <w:pStyle w:val="42"/>
        <w:widowControl/>
        <w:adjustRightInd/>
        <w:snapToGrid/>
        <w:spacing w:before="120" w:beforeLines="50" w:line="360" w:lineRule="auto"/>
        <w:ind w:firstLine="562" w:firstLineChars="0"/>
        <w:jc w:val="both"/>
        <w:outlineLvl w:val="3"/>
        <w:rPr>
          <w:rFonts w:hint="default" w:eastAsia="楷体" w:cs="Times New Roman"/>
          <w:b/>
          <w:bCs/>
          <w:color w:val="auto"/>
          <w:sz w:val="28"/>
          <w:szCs w:val="28"/>
          <w:lang w:val="en-US" w:eastAsia="zh-CN"/>
        </w:rPr>
      </w:pPr>
      <w:r>
        <w:rPr>
          <w:rFonts w:hint="eastAsia" w:eastAsia="楷体" w:cs="Times New Roman"/>
          <w:b/>
          <w:bCs/>
          <w:color w:val="auto"/>
          <w:sz w:val="28"/>
          <w:szCs w:val="28"/>
          <w:lang w:val="en-US" w:eastAsia="zh-CN"/>
        </w:rPr>
        <w:t>（三）水游游览</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可沿梁庙沟进行划船体验游览，提升游客的充分亲近自然的体验感。</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此外，公园内还可开展骑行游览等方式的旅游。</w:t>
      </w:r>
    </w:p>
    <w:p>
      <w:pPr>
        <w:pStyle w:val="4"/>
        <w:rPr>
          <w:rFonts w:hint="eastAsia" w:ascii="宋体" w:hAnsi="宋体" w:eastAsia="宋体" w:cs="宋体"/>
          <w:lang w:val="en-US" w:eastAsia="zh-CN"/>
        </w:rPr>
      </w:pPr>
      <w:r>
        <w:rPr>
          <w:rFonts w:hint="eastAsia" w:ascii="宋体" w:hAnsi="宋体" w:eastAsia="宋体" w:cs="宋体"/>
          <w:lang w:val="en-US" w:eastAsia="zh-CN"/>
        </w:rPr>
        <w:t>二、旅游路线组织</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为满足不同层次观光旅游的游客需求，园内旅游路线安排以半日游和一日游为主，二日（多日）游为辅，采取组团方式游览，便于组织交通及减轻游客旅途疲劳。参加科学考察和教学实习、参与性和挑战性活动及度假休闲活动的，可自行安排主题游，包括森林生态游、人文历史游、运动休闲游、户外探险游、拓展运动游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（一）半日游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森林文化广场→碧水迎宾→果林识香→</w:t>
      </w:r>
      <w:r>
        <w:rPr>
          <w:rFonts w:hint="eastAsia" w:eastAsia="宋体" w:cs="Times New Roman"/>
          <w:color w:val="auto"/>
          <w:sz w:val="28"/>
          <w:szCs w:val="28"/>
          <w:lang w:val="en-US" w:eastAsia="zh-CN"/>
        </w:rPr>
        <w:t>秋色如染</w:t>
      </w:r>
      <w:r>
        <w:rPr>
          <w:rFonts w:hint="eastAsia" w:eastAsia="宋体" w:cs="Times New Roman"/>
          <w:color w:val="auto"/>
          <w:sz w:val="28"/>
          <w:szCs w:val="28"/>
        </w:rPr>
        <w:t>→</w:t>
      </w:r>
      <w:r>
        <w:rPr>
          <w:rFonts w:hint="eastAsia" w:eastAsia="宋体" w:cs="Times New Roman"/>
          <w:color w:val="auto"/>
          <w:sz w:val="28"/>
          <w:szCs w:val="28"/>
          <w:lang w:val="en-US" w:eastAsia="zh-CN"/>
        </w:rPr>
        <w:t>曲径通幽</w:t>
      </w:r>
      <w:r>
        <w:rPr>
          <w:rFonts w:hint="eastAsia" w:eastAsia="宋体" w:cs="Times New Roman"/>
          <w:color w:val="auto"/>
          <w:sz w:val="28"/>
          <w:szCs w:val="28"/>
        </w:rPr>
        <w:t>→金堤余韵；</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森林文化广场→</w:t>
      </w:r>
      <w:r>
        <w:rPr>
          <w:rFonts w:hint="eastAsia" w:eastAsia="宋体" w:cs="Times New Roman"/>
          <w:color w:val="auto"/>
          <w:sz w:val="28"/>
          <w:szCs w:val="28"/>
          <w:lang w:val="en-US" w:eastAsia="zh-CN"/>
        </w:rPr>
        <w:t>杉林寻鹭</w:t>
      </w:r>
      <w:r>
        <w:rPr>
          <w:rFonts w:hint="eastAsia" w:eastAsia="宋体" w:cs="Times New Roman"/>
          <w:color w:val="auto"/>
          <w:sz w:val="28"/>
          <w:szCs w:val="28"/>
        </w:rPr>
        <w:t>→</w:t>
      </w:r>
      <w:r>
        <w:rPr>
          <w:rFonts w:hint="eastAsia" w:eastAsia="宋体" w:cs="Times New Roman"/>
          <w:color w:val="auto"/>
          <w:sz w:val="28"/>
          <w:szCs w:val="28"/>
          <w:lang w:val="en-US" w:eastAsia="zh-CN"/>
        </w:rPr>
        <w:t>竹岛听风</w:t>
      </w:r>
      <w:r>
        <w:rPr>
          <w:rFonts w:hint="eastAsia" w:eastAsia="宋体" w:cs="Times New Roman"/>
          <w:color w:val="auto"/>
          <w:sz w:val="28"/>
          <w:szCs w:val="28"/>
        </w:rPr>
        <w:t>→金堤余韵；</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（二）一日游</w:t>
      </w:r>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rPr>
        <w:t>森林文化广场→碧水迎宾→果林识香→</w:t>
      </w:r>
      <w:r>
        <w:rPr>
          <w:rFonts w:hint="eastAsia" w:eastAsia="宋体" w:cs="Times New Roman"/>
          <w:color w:val="auto"/>
          <w:sz w:val="28"/>
          <w:szCs w:val="28"/>
          <w:lang w:val="en-US" w:eastAsia="zh-CN"/>
        </w:rPr>
        <w:t>秋色如染</w:t>
      </w:r>
      <w:r>
        <w:rPr>
          <w:rFonts w:hint="eastAsia" w:eastAsia="宋体" w:cs="Times New Roman"/>
          <w:color w:val="auto"/>
          <w:sz w:val="28"/>
          <w:szCs w:val="28"/>
        </w:rPr>
        <w:t>→</w:t>
      </w:r>
      <w:r>
        <w:rPr>
          <w:rFonts w:hint="eastAsia" w:eastAsia="宋体" w:cs="Times New Roman"/>
          <w:color w:val="auto"/>
          <w:sz w:val="28"/>
          <w:szCs w:val="28"/>
          <w:lang w:val="en-US" w:eastAsia="zh-CN"/>
        </w:rPr>
        <w:t>曲径通幽</w:t>
      </w:r>
      <w:r>
        <w:rPr>
          <w:rFonts w:hint="eastAsia" w:eastAsia="宋体" w:cs="Times New Roman"/>
          <w:color w:val="auto"/>
          <w:sz w:val="28"/>
          <w:szCs w:val="28"/>
        </w:rPr>
        <w:t>→金堤余韵→</w:t>
      </w:r>
      <w:r>
        <w:rPr>
          <w:rFonts w:hint="eastAsia" w:eastAsia="宋体" w:cs="Times New Roman"/>
          <w:color w:val="auto"/>
          <w:sz w:val="28"/>
          <w:szCs w:val="28"/>
          <w:lang w:val="en-US" w:eastAsia="zh-CN"/>
        </w:rPr>
        <w:t>竹岛听风</w:t>
      </w:r>
      <w:r>
        <w:rPr>
          <w:rFonts w:hint="eastAsia" w:eastAsia="宋体" w:cs="Times New Roman"/>
          <w:color w:val="auto"/>
          <w:sz w:val="28"/>
          <w:szCs w:val="28"/>
        </w:rPr>
        <w:t>→</w:t>
      </w:r>
      <w:r>
        <w:rPr>
          <w:rFonts w:hint="eastAsia" w:eastAsia="宋体" w:cs="Times New Roman"/>
          <w:color w:val="auto"/>
          <w:sz w:val="28"/>
          <w:szCs w:val="28"/>
          <w:lang w:val="en-US" w:eastAsia="zh-CN"/>
        </w:rPr>
        <w:t>杉林寻鹭</w:t>
      </w:r>
      <w:r>
        <w:rPr>
          <w:rFonts w:hint="eastAsia" w:eastAsia="宋体" w:cs="Times New Roman"/>
          <w:color w:val="auto"/>
          <w:sz w:val="28"/>
          <w:szCs w:val="28"/>
        </w:rPr>
        <w:t>→森林文化广场</w:t>
      </w:r>
      <w:r>
        <w:rPr>
          <w:rFonts w:hint="eastAsia" w:eastAsia="宋体" w:cs="Times New Roman"/>
          <w:color w:val="auto"/>
          <w:sz w:val="28"/>
          <w:szCs w:val="28"/>
          <w:lang w:eastAsia="zh-CN"/>
        </w:rPr>
        <w:t>。</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（三）二日、多日游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二日、多日游览的路线不仅可以欣赏到公园景区景点的众多美景，自由组合多种游览组织路线，还可以进行科普教育游、户外探险游、拓展运动游等专题旅游主题游览活动。充分发挥西凤森林公园观光、科普、文化、教育等多功能旅游的城郊型公园特点。</w:t>
      </w:r>
    </w:p>
    <w:p>
      <w:pPr>
        <w:spacing w:line="240" w:lineRule="atLeast"/>
        <w:ind w:firstLine="560"/>
        <w:rPr>
          <w:rFonts w:eastAsia="黑体"/>
          <w:kern w:val="44"/>
          <w:sz w:val="44"/>
        </w:rPr>
      </w:pPr>
      <w: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84" w:name="_Toc28783"/>
      <w:r>
        <w:rPr>
          <w:rFonts w:hint="eastAsia" w:cs="Times New Roman"/>
          <w:b w:val="0"/>
          <w:bCs w:val="0"/>
          <w:i w:val="0"/>
          <w:iCs/>
          <w:color w:val="auto"/>
          <w:kern w:val="44"/>
          <w:szCs w:val="44"/>
        </w:rPr>
        <w:t>第七章 基础服务设施规划</w:t>
      </w:r>
      <w:bookmarkEnd w:id="84"/>
    </w:p>
    <w:p>
      <w:pPr>
        <w:pStyle w:val="3"/>
        <w:rPr>
          <w:rFonts w:hint="eastAsia"/>
          <w:lang w:val="en-US" w:eastAsia="zh-CN"/>
        </w:rPr>
      </w:pPr>
      <w:bookmarkStart w:id="85" w:name="_Toc25209"/>
      <w:r>
        <w:rPr>
          <w:rFonts w:hint="eastAsia"/>
          <w:lang w:val="en-US" w:eastAsia="zh-CN"/>
        </w:rPr>
        <w:t>第一节 基础设施规划</w:t>
      </w:r>
      <w:bookmarkEnd w:id="85"/>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基础设施工程是森林公园为旅游者提供观光、游览、度假等活动的最基本工程。主要包括道路交通</w:t>
      </w:r>
      <w:r>
        <w:rPr>
          <w:rFonts w:hint="eastAsia" w:eastAsia="宋体" w:cs="Times New Roman"/>
          <w:color w:val="auto"/>
          <w:sz w:val="28"/>
          <w:szCs w:val="28"/>
          <w:lang w:eastAsia="zh-CN"/>
        </w:rPr>
        <w:t>、</w:t>
      </w:r>
      <w:r>
        <w:rPr>
          <w:rFonts w:hint="eastAsia" w:eastAsia="宋体" w:cs="Times New Roman"/>
          <w:color w:val="auto"/>
          <w:sz w:val="28"/>
          <w:szCs w:val="28"/>
        </w:rPr>
        <w:t>给排水</w:t>
      </w:r>
      <w:r>
        <w:rPr>
          <w:rFonts w:hint="eastAsia" w:eastAsia="宋体" w:cs="Times New Roman"/>
          <w:color w:val="auto"/>
          <w:sz w:val="28"/>
          <w:szCs w:val="28"/>
          <w:lang w:eastAsia="zh-CN"/>
        </w:rPr>
        <w:t>、</w:t>
      </w:r>
      <w:r>
        <w:rPr>
          <w:rFonts w:hint="eastAsia" w:eastAsia="宋体" w:cs="Times New Roman"/>
          <w:color w:val="auto"/>
          <w:sz w:val="28"/>
          <w:szCs w:val="28"/>
        </w:rPr>
        <w:t>供电</w:t>
      </w:r>
      <w:r>
        <w:rPr>
          <w:rFonts w:hint="eastAsia" w:eastAsia="宋体" w:cs="Times New Roman"/>
          <w:color w:val="auto"/>
          <w:sz w:val="28"/>
          <w:szCs w:val="28"/>
          <w:lang w:eastAsia="zh-CN"/>
        </w:rPr>
        <w:t>、</w:t>
      </w:r>
      <w:r>
        <w:rPr>
          <w:rFonts w:hint="eastAsia" w:eastAsia="宋体" w:cs="Times New Roman"/>
          <w:color w:val="auto"/>
          <w:sz w:val="28"/>
          <w:szCs w:val="28"/>
        </w:rPr>
        <w:t>邮政、通讯及电视系统</w:t>
      </w:r>
      <w:r>
        <w:rPr>
          <w:rFonts w:hint="eastAsia" w:eastAsia="宋体" w:cs="Times New Roman"/>
          <w:color w:val="auto"/>
          <w:sz w:val="28"/>
          <w:szCs w:val="28"/>
          <w:lang w:val="en-US" w:eastAsia="zh-CN"/>
        </w:rPr>
        <w:t>工程</w:t>
      </w:r>
      <w:r>
        <w:rPr>
          <w:rFonts w:hint="eastAsia" w:eastAsia="宋体" w:cs="Times New Roman"/>
          <w:color w:val="auto"/>
          <w:sz w:val="28"/>
          <w:szCs w:val="28"/>
        </w:rPr>
        <w:t>规划。</w:t>
      </w:r>
    </w:p>
    <w:p>
      <w:pPr>
        <w:pStyle w:val="4"/>
        <w:rPr>
          <w:rFonts w:hint="eastAsia" w:ascii="宋体" w:hAnsi="宋体" w:eastAsia="宋体" w:cs="宋体"/>
          <w:lang w:val="en-US" w:eastAsia="zh-CN"/>
        </w:rPr>
      </w:pPr>
      <w:r>
        <w:rPr>
          <w:rFonts w:hint="eastAsia" w:ascii="宋体" w:hAnsi="宋体" w:eastAsia="宋体" w:cs="宋体"/>
          <w:lang w:val="en-US" w:eastAsia="zh-CN"/>
        </w:rPr>
        <w:t>一、给排水规划</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给排水是森林公园的一项基础设施，它直接关系到游人</w:t>
      </w:r>
      <w:r>
        <w:rPr>
          <w:rFonts w:hint="eastAsia" w:eastAsia="宋体" w:cs="Times New Roman"/>
          <w:color w:val="auto"/>
          <w:sz w:val="28"/>
          <w:szCs w:val="28"/>
          <w:lang w:eastAsia="zh-CN"/>
        </w:rPr>
        <w:t>、</w:t>
      </w:r>
      <w:r>
        <w:rPr>
          <w:rFonts w:hint="eastAsia" w:eastAsia="宋体" w:cs="Times New Roman"/>
          <w:color w:val="auto"/>
          <w:sz w:val="28"/>
          <w:szCs w:val="28"/>
        </w:rPr>
        <w:t>职工日常生活</w:t>
      </w:r>
      <w:r>
        <w:rPr>
          <w:rFonts w:hint="eastAsia" w:eastAsia="宋体" w:cs="Times New Roman"/>
          <w:color w:val="auto"/>
          <w:sz w:val="28"/>
          <w:szCs w:val="28"/>
          <w:lang w:val="en-US" w:eastAsia="zh-CN"/>
        </w:rPr>
        <w:t>和森林植物的灌溉与排水，</w:t>
      </w:r>
      <w:r>
        <w:rPr>
          <w:rFonts w:hint="eastAsia" w:eastAsia="宋体" w:cs="Times New Roman"/>
          <w:color w:val="auto"/>
          <w:sz w:val="28"/>
          <w:szCs w:val="28"/>
        </w:rPr>
        <w:t>因而，必须对森林公园的给水、排水</w:t>
      </w:r>
      <w:r>
        <w:rPr>
          <w:rFonts w:hint="eastAsia" w:eastAsia="宋体" w:cs="Times New Roman"/>
          <w:color w:val="auto"/>
          <w:sz w:val="28"/>
          <w:szCs w:val="28"/>
          <w:lang w:eastAsia="zh-CN"/>
        </w:rPr>
        <w:t>作出</w:t>
      </w:r>
      <w:r>
        <w:rPr>
          <w:rFonts w:hint="eastAsia" w:eastAsia="宋体" w:cs="Times New Roman"/>
          <w:color w:val="auto"/>
          <w:sz w:val="28"/>
          <w:szCs w:val="28"/>
        </w:rPr>
        <w:t>合理规划。</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（一）给水工程</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1.给水现状</w:t>
      </w:r>
    </w:p>
    <w:p>
      <w:pPr>
        <w:widowControl/>
        <w:adjustRightInd/>
        <w:snapToGrid/>
        <w:spacing w:line="360" w:lineRule="auto"/>
        <w:ind w:firstLine="560" w:firstLineChars="0"/>
        <w:jc w:val="both"/>
        <w:rPr>
          <w:rFonts w:hint="eastAsia" w:eastAsia="宋体" w:cs="Times New Roman"/>
          <w:color w:val="auto"/>
          <w:sz w:val="28"/>
          <w:szCs w:val="28"/>
          <w:highlight w:val="none"/>
        </w:rPr>
      </w:pPr>
      <w:r>
        <w:rPr>
          <w:rFonts w:hint="eastAsia" w:eastAsia="宋体" w:cs="Times New Roman"/>
          <w:color w:val="auto"/>
          <w:sz w:val="28"/>
          <w:szCs w:val="28"/>
          <w:highlight w:val="none"/>
        </w:rPr>
        <w:t>公园内的用水主要来自于城市自来水管网，部分取自于</w:t>
      </w:r>
      <w:r>
        <w:rPr>
          <w:rFonts w:hint="eastAsia" w:eastAsia="宋体" w:cs="Times New Roman"/>
          <w:color w:val="auto"/>
          <w:sz w:val="28"/>
          <w:szCs w:val="28"/>
          <w:highlight w:val="none"/>
          <w:lang w:val="en-US" w:eastAsia="zh-CN"/>
        </w:rPr>
        <w:t>梁庙沟</w:t>
      </w:r>
      <w:r>
        <w:rPr>
          <w:rFonts w:hint="eastAsia" w:eastAsia="宋体" w:cs="Times New Roman"/>
          <w:color w:val="auto"/>
          <w:sz w:val="28"/>
          <w:szCs w:val="28"/>
          <w:highlight w:val="none"/>
        </w:rPr>
        <w:t>水系</w:t>
      </w:r>
      <w:r>
        <w:rPr>
          <w:rFonts w:hint="eastAsia" w:eastAsia="宋体" w:cs="Times New Roman"/>
          <w:color w:val="auto"/>
          <w:sz w:val="28"/>
          <w:szCs w:val="28"/>
          <w:highlight w:val="none"/>
          <w:lang w:eastAsia="zh-CN"/>
        </w:rPr>
        <w:t>，</w:t>
      </w:r>
      <w:r>
        <w:rPr>
          <w:rFonts w:hint="eastAsia" w:eastAsia="宋体" w:cs="Times New Roman"/>
          <w:color w:val="auto"/>
          <w:sz w:val="28"/>
          <w:szCs w:val="28"/>
          <w:highlight w:val="none"/>
          <w:lang w:val="en-US" w:eastAsia="zh-CN"/>
        </w:rPr>
        <w:t>同时</w:t>
      </w:r>
      <w:r>
        <w:rPr>
          <w:rFonts w:hint="eastAsia" w:eastAsia="宋体" w:cs="Times New Roman"/>
          <w:color w:val="auto"/>
          <w:sz w:val="28"/>
          <w:szCs w:val="28"/>
          <w:highlight w:val="none"/>
        </w:rPr>
        <w:t>森林公园内修有水渠供水，</w:t>
      </w:r>
      <w:r>
        <w:rPr>
          <w:rFonts w:hint="eastAsia" w:eastAsia="宋体" w:cs="Times New Roman"/>
          <w:color w:val="auto"/>
          <w:sz w:val="28"/>
          <w:szCs w:val="28"/>
          <w:highlight w:val="none"/>
          <w:lang w:val="en-US" w:eastAsia="zh-CN"/>
        </w:rPr>
        <w:t>也</w:t>
      </w:r>
      <w:r>
        <w:rPr>
          <w:rFonts w:hint="eastAsia" w:eastAsia="宋体" w:cs="Times New Roman"/>
          <w:color w:val="auto"/>
          <w:sz w:val="28"/>
          <w:szCs w:val="28"/>
          <w:highlight w:val="none"/>
        </w:rPr>
        <w:t>可供生活、生产用水使用。公园内森林覆盖率高，</w:t>
      </w:r>
      <w:r>
        <w:rPr>
          <w:rFonts w:hint="eastAsia" w:eastAsia="宋体" w:cs="Times New Roman"/>
          <w:color w:val="auto"/>
          <w:sz w:val="28"/>
          <w:szCs w:val="28"/>
          <w:highlight w:val="none"/>
          <w:lang w:val="en-US" w:eastAsia="zh-CN"/>
        </w:rPr>
        <w:t>河</w:t>
      </w:r>
      <w:r>
        <w:rPr>
          <w:rFonts w:hint="eastAsia" w:eastAsia="宋体" w:cs="Times New Roman"/>
          <w:color w:val="auto"/>
          <w:sz w:val="28"/>
          <w:szCs w:val="28"/>
          <w:highlight w:val="none"/>
        </w:rPr>
        <w:t>流不断，水质清纯。</w:t>
      </w:r>
      <w:r>
        <w:rPr>
          <w:rFonts w:hint="eastAsia" w:eastAsia="宋体" w:cs="Times New Roman"/>
          <w:color w:val="auto"/>
          <w:sz w:val="28"/>
          <w:szCs w:val="28"/>
          <w:highlight w:val="none"/>
          <w:lang w:val="en-US" w:eastAsia="zh-CN"/>
        </w:rPr>
        <w:t>公园内已建完整的给水灌溉系统，设置了14口水源井，259个取水阀，满足了植物灌溉需求，其</w:t>
      </w:r>
      <w:r>
        <w:rPr>
          <w:rFonts w:hint="eastAsia" w:eastAsia="宋体" w:cs="Times New Roman"/>
          <w:color w:val="auto"/>
          <w:sz w:val="28"/>
          <w:szCs w:val="28"/>
          <w:highlight w:val="none"/>
        </w:rPr>
        <w:t>水量水质保障</w:t>
      </w:r>
      <w:r>
        <w:rPr>
          <w:rFonts w:hint="eastAsia" w:eastAsia="宋体" w:cs="Times New Roman"/>
          <w:color w:val="auto"/>
          <w:sz w:val="28"/>
          <w:szCs w:val="28"/>
          <w:highlight w:val="none"/>
          <w:lang w:val="en-US" w:eastAsia="zh-CN"/>
        </w:rPr>
        <w:t>了</w:t>
      </w:r>
      <w:r>
        <w:rPr>
          <w:rFonts w:hint="eastAsia" w:eastAsia="宋体" w:cs="Times New Roman"/>
          <w:color w:val="auto"/>
          <w:sz w:val="28"/>
          <w:szCs w:val="28"/>
          <w:highlight w:val="none"/>
        </w:rPr>
        <w:t>游客及工作人员的饮水安全，基本能够满足公园用水要求。随着森林公园的进一步开发和建设，游客量增加，森林公园的用水量也将会增大，因此必须对森林公园的给水做进一步的规划。</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2.规划原则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（1）供水设施满足旅游发展、居民生活及林业生产的需要。</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（2）就近利用水源，充分利用现有给水系统。</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（3）满足环境和消防用水需要。</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（4）规划留有余地，兼顾发展。</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3.用水量预测</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（1）生活用水量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参照国家标准《风景名胜区规划规范GB50298-1999》，确定每项用水指标。日常生活用水量估算见表7-1。</w:t>
      </w:r>
    </w:p>
    <w:p>
      <w:pPr>
        <w:spacing w:line="540" w:lineRule="exact"/>
        <w:ind w:firstLine="0" w:firstLineChars="0"/>
        <w:jc w:val="center"/>
        <w:rPr>
          <w:rFonts w:hint="default" w:ascii="仿宋" w:hAnsi="仿宋" w:eastAsia="仿宋" w:cs="Times New Roman"/>
          <w:b/>
          <w:sz w:val="24"/>
          <w:lang w:val="en-US" w:eastAsia="zh-CN"/>
        </w:rPr>
      </w:pPr>
      <w:r>
        <w:rPr>
          <w:rFonts w:hint="eastAsia" w:ascii="黑体" w:hAnsi="黑体" w:eastAsia="黑体" w:cs="Times New Roman"/>
          <w:color w:val="auto"/>
          <w:sz w:val="24"/>
        </w:rPr>
        <w:t>表</w:t>
      </w:r>
      <w:r>
        <w:rPr>
          <w:rFonts w:ascii="黑体" w:hAnsi="黑体" w:eastAsia="黑体" w:cs="Times New Roman"/>
          <w:color w:val="auto"/>
          <w:sz w:val="24"/>
        </w:rPr>
        <w:t>7</w:t>
      </w:r>
      <w:r>
        <w:rPr>
          <w:rFonts w:hint="eastAsia" w:ascii="黑体" w:hAnsi="黑体" w:eastAsia="黑体" w:cs="Times New Roman"/>
          <w:color w:val="auto"/>
          <w:sz w:val="24"/>
        </w:rPr>
        <w:t>-</w:t>
      </w:r>
      <w:r>
        <w:rPr>
          <w:rFonts w:hint="eastAsia" w:ascii="黑体" w:hAnsi="黑体" w:eastAsia="黑体" w:cs="Times New Roman"/>
          <w:color w:val="auto"/>
          <w:sz w:val="24"/>
          <w:lang w:val="en-US" w:eastAsia="zh-CN"/>
        </w:rPr>
        <w:t>1</w:t>
      </w:r>
      <w:r>
        <w:rPr>
          <w:rFonts w:hint="eastAsia" w:ascii="黑体" w:hAnsi="黑体" w:eastAsia="黑体" w:cs="Times New Roman"/>
          <w:color w:val="auto"/>
          <w:sz w:val="24"/>
        </w:rPr>
        <w:t xml:space="preserve">  </w:t>
      </w:r>
      <w:r>
        <w:rPr>
          <w:rFonts w:hint="eastAsia" w:ascii="黑体" w:hAnsi="黑体" w:eastAsia="黑体" w:cs="Times New Roman"/>
          <w:color w:val="auto"/>
          <w:sz w:val="24"/>
          <w:lang w:val="en-US" w:eastAsia="zh-CN"/>
        </w:rPr>
        <w:t>西凤省级森林公园日常用水量估算表</w:t>
      </w: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592"/>
        <w:gridCol w:w="876"/>
        <w:gridCol w:w="1259"/>
        <w:gridCol w:w="1411"/>
        <w:gridCol w:w="1155"/>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626" w:type="pct"/>
            <w:vMerge w:val="restar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用   途</w:t>
            </w:r>
          </w:p>
        </w:tc>
        <w:tc>
          <w:tcPr>
            <w:tcW w:w="934" w:type="pct"/>
            <w:vMerge w:val="restar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 位</w:t>
            </w:r>
          </w:p>
        </w:tc>
        <w:tc>
          <w:tcPr>
            <w:tcW w:w="514" w:type="pct"/>
            <w:vMerge w:val="restar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eastAsia="zh-CN"/>
              </w:rPr>
            </w:pPr>
            <w:r>
              <w:rPr>
                <w:rFonts w:hint="eastAsia" w:eastAsia="宋体" w:cs="Times New Roman"/>
                <w:b/>
                <w:bCs/>
                <w:sz w:val="21"/>
                <w:szCs w:val="21"/>
                <w:lang w:val="en-US" w:eastAsia="zh-CN"/>
              </w:rPr>
              <w:t>指标</w:t>
            </w:r>
          </w:p>
        </w:tc>
        <w:tc>
          <w:tcPr>
            <w:tcW w:w="1567" w:type="pct"/>
            <w:gridSpan w:val="2"/>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近期规划</w:t>
            </w:r>
          </w:p>
        </w:tc>
        <w:tc>
          <w:tcPr>
            <w:tcW w:w="1357" w:type="pct"/>
            <w:gridSpan w:val="2"/>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626" w:type="pct"/>
            <w:vMerge w:val="continue"/>
            <w:tcBorders>
              <w:bottom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934" w:type="pct"/>
            <w:vMerge w:val="continue"/>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514" w:type="pct"/>
            <w:vMerge w:val="continue"/>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739"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数量</w:t>
            </w:r>
          </w:p>
        </w:tc>
        <w:tc>
          <w:tcPr>
            <w:tcW w:w="828"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用水量</w:t>
            </w:r>
          </w:p>
        </w:tc>
        <w:tc>
          <w:tcPr>
            <w:tcW w:w="678"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数量</w:t>
            </w:r>
          </w:p>
        </w:tc>
        <w:tc>
          <w:tcPr>
            <w:tcW w:w="679"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w:t>
            </w:r>
          </w:p>
        </w:tc>
        <w:tc>
          <w:tcPr>
            <w:tcW w:w="934"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吨/人.日</w:t>
            </w:r>
          </w:p>
        </w:tc>
        <w:tc>
          <w:tcPr>
            <w:tcW w:w="514"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w:t>
            </w:r>
          </w:p>
        </w:tc>
        <w:tc>
          <w:tcPr>
            <w:tcW w:w="739"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828"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78"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679"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游客</w:t>
            </w:r>
          </w:p>
        </w:tc>
        <w:tc>
          <w:tcPr>
            <w:tcW w:w="934"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highlight w:val="yellow"/>
              </w:rPr>
            </w:pPr>
            <w:r>
              <w:rPr>
                <w:rFonts w:hint="eastAsia" w:ascii="Times New Roman" w:hAnsi="Times New Roman" w:eastAsia="宋体" w:cs="Times New Roman"/>
                <w:sz w:val="21"/>
                <w:szCs w:val="21"/>
                <w:lang w:val="en-US" w:eastAsia="zh-CN"/>
              </w:rPr>
              <w:t>吨/人.日</w:t>
            </w:r>
          </w:p>
        </w:tc>
        <w:tc>
          <w:tcPr>
            <w:tcW w:w="514"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0.030</w:t>
            </w:r>
          </w:p>
        </w:tc>
        <w:tc>
          <w:tcPr>
            <w:tcW w:w="739"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828"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678"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679" w:type="pct"/>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广场、道路</w:t>
            </w:r>
          </w:p>
        </w:tc>
        <w:tc>
          <w:tcPr>
            <w:tcW w:w="93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吨/日.平方米</w:t>
            </w:r>
          </w:p>
        </w:tc>
        <w:tc>
          <w:tcPr>
            <w:tcW w:w="51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c>
          <w:tcPr>
            <w:tcW w:w="73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60000</w:t>
            </w:r>
          </w:p>
        </w:tc>
        <w:tc>
          <w:tcPr>
            <w:tcW w:w="8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w:t>
            </w:r>
          </w:p>
        </w:tc>
        <w:tc>
          <w:tcPr>
            <w:tcW w:w="67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80000</w:t>
            </w:r>
          </w:p>
        </w:tc>
        <w:tc>
          <w:tcPr>
            <w:tcW w:w="67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厕所</w:t>
            </w:r>
          </w:p>
        </w:tc>
        <w:tc>
          <w:tcPr>
            <w:tcW w:w="93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吨/日.座</w:t>
            </w:r>
          </w:p>
        </w:tc>
        <w:tc>
          <w:tcPr>
            <w:tcW w:w="51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c>
          <w:tcPr>
            <w:tcW w:w="73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7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67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未预见及其他用水</w:t>
            </w:r>
          </w:p>
        </w:tc>
        <w:tc>
          <w:tcPr>
            <w:tcW w:w="93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用水总和*</w:t>
            </w: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w:t>
            </w:r>
          </w:p>
        </w:tc>
        <w:tc>
          <w:tcPr>
            <w:tcW w:w="51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p>
        </w:tc>
        <w:tc>
          <w:tcPr>
            <w:tcW w:w="8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67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p>
        </w:tc>
        <w:tc>
          <w:tcPr>
            <w:tcW w:w="67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总计</w:t>
            </w:r>
          </w:p>
        </w:tc>
        <w:tc>
          <w:tcPr>
            <w:tcW w:w="93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514"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73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82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w:t>
            </w:r>
          </w:p>
        </w:tc>
        <w:tc>
          <w:tcPr>
            <w:tcW w:w="678"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rPr>
            </w:pPr>
          </w:p>
        </w:tc>
        <w:tc>
          <w:tcPr>
            <w:tcW w:w="679"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r>
    </w:tbl>
    <w:p>
      <w:pPr>
        <w:spacing w:line="540" w:lineRule="exact"/>
        <w:ind w:firstLine="0" w:firstLineChars="0"/>
        <w:jc w:val="center"/>
        <w:rPr>
          <w:rFonts w:ascii="仿宋" w:hAnsi="仿宋" w:cs="Times New Roman"/>
          <w:b/>
          <w:sz w:val="24"/>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按照上表预测近期高峰期总用水为84吨/日，远期高峰期总用水为122吨/日。</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按日最高峰用水量的50%计算年用水量，则公园的年用水量预测计算为：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近期：84（吨/日）×50%×365日=15330吨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远期：122（吨/日）×50%×365日=22265吨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（2）消防用水量</w:t>
      </w:r>
    </w:p>
    <w:p>
      <w:pPr>
        <w:tabs>
          <w:tab w:val="left" w:pos="1478"/>
        </w:tabs>
        <w:bidi w:val="0"/>
        <w:jc w:val="left"/>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根据建筑消防规范，计算得知：建筑室外消防用水量20升/秒，一次消防历时2小时，一次消防用水量为144立方米；室内消防用水量：15升/秒，一次消防历时2小时，一次消防用水量为108立方米。</w:t>
      </w:r>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4.给水系统</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在旅游服务设施相对集中的区域采取就近取水原则，布设给水系统。生活饮用水必须经净化处理，达到饮用水标准。公园内供水纳入台前县城区统一供水管网。生活用水给水管道的设置及管径应根据规划布局，规划给水规模并结合远期建设确定，其走向应沿现有或规划道路布置，便于使用和管理。规划将园区内部分人工沟渠设置为消防储水池，专门用于消防用水，或者接入附近消防管道。</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（二）排水工程规划</w:t>
      </w:r>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1.排水现状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目前，森林公园各景点或管理区的生活污水经简单沉淀处理后通过暗管直接排向外界；雨水及灌溉排水主要采用地面排水方式。随着旅游开发的不断开展和游客规模的不断扩大，此种排水方式必将产生严重的负面影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2.规划原则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（1）符合环境保护的要求。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（2）设施建设与环境相协调，讲究美观。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（3）全面考虑，分类处理，污水处理必须达到国家污水排放标准后排放。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（4）污水排放应避开景点。</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3.排水系统</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（1）排水体制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森林公园内污水为生活污水，无生产污水。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排水体制采用雨、污分流制，污水集中处理。雨水通过管道汇集后排放至附近水体。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（2）雨水排放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新建接待服务设施、新开发景点同步建设雨水排水设施。现有接待服务设施和已开放的区域，如果存在排水不畅、积水现象，需查找排水瓶颈并改建。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（3）公厕排水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在森林公园内建立的旅游厕所，分别就近建设化粪池或净化池，也可以通过排污管集中到附近处理站进行处理，其水源可以采用天然河水。管理区以及森林公园游客集散中心的污水纳入城区统一污水处理系统。</w:t>
      </w:r>
    </w:p>
    <w:p>
      <w:pPr>
        <w:pStyle w:val="4"/>
        <w:rPr>
          <w:rFonts w:hint="eastAsia" w:ascii="宋体" w:hAnsi="宋体" w:eastAsia="宋体" w:cs="宋体"/>
          <w:lang w:val="en-US" w:eastAsia="zh-CN"/>
        </w:rPr>
      </w:pPr>
      <w:r>
        <w:rPr>
          <w:rFonts w:hint="eastAsia" w:ascii="宋体" w:hAnsi="宋体" w:eastAsia="宋体" w:cs="宋体"/>
          <w:lang w:val="en-US" w:eastAsia="zh-CN"/>
        </w:rPr>
        <w:t>二、供电规划</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（一）供电现状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西凤省级森林公园地块集中，分布于台前后方、城关两个乡镇。应结合农村电网改造逐步升级公园电网，满足森林公园近期、远期的开发建设规模需求。目前已架设高压输变电专线，公园内部电力供应有保障。</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（二）规划原则</w:t>
      </w:r>
    </w:p>
    <w:p>
      <w:pPr>
        <w:tabs>
          <w:tab w:val="left" w:pos="1278"/>
        </w:tabs>
        <w:bidi w:val="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1.充分利用现有条件，正确处理近期、远期的关系，做到以近期为主，适当考虑扩容的可能性。</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2.供电工程设施要符合环保的要求，减少对森林公园的污染及其它公害，同时做到与其它基础设施相配合，统筹安排。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3.坚持节约能源、技术先进、经济合理的原则，做到安全适用，维护管理方便。</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（三）供电规划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规划在公园内建10KV级变压站1处，利用附近的高压电力网，向附近变电所申请安装供电变压器，连接到附近村庄用电网络，供电变压器的容量必须大于或等于森林公园用电估算负荷。采用10KV高压配电线，各用电点采用380/220V三相四线制供电。配电线路的敷设形式可根据实际情况分别采用架空线或地下电缆。在公园外并且不影响景观效果的情况下，可采用架空线。在公园内，应尽量采用地埋电缆，以保护景观资源。</w:t>
      </w:r>
    </w:p>
    <w:p>
      <w:pPr>
        <w:pStyle w:val="4"/>
        <w:rPr>
          <w:rFonts w:hint="eastAsia" w:ascii="宋体" w:hAnsi="宋体" w:eastAsia="宋体" w:cs="宋体"/>
          <w:lang w:val="en-US" w:eastAsia="zh-CN"/>
        </w:rPr>
      </w:pPr>
      <w:r>
        <w:rPr>
          <w:rFonts w:hint="eastAsia" w:ascii="宋体" w:hAnsi="宋体" w:eastAsia="宋体" w:cs="宋体"/>
          <w:lang w:val="en-US" w:eastAsia="zh-CN"/>
        </w:rPr>
        <w:t>三、邮政、通讯及电视系统规划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根据森林公园开发建设的需求，在景区、景点增加程控电话、宽带网络以及移动通讯基站，完善现有通信设施。目前，中国移动信号和中国联通信号已覆盖森林公园各景区景点。</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（一）移动通信</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由于移动通信的兴起及手机的广泛应用，电话通讯的需求有较大的减少。根据旅游区实际需要，每个入口管理服务区设电话1个。</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highlight w:val="yellow"/>
          <w:lang w:val="en-US" w:eastAsia="zh-CN"/>
        </w:rPr>
      </w:pPr>
      <w:r>
        <w:rPr>
          <w:rFonts w:hint="eastAsia" w:eastAsia="楷体" w:cs="Times New Roman"/>
          <w:b/>
          <w:bCs/>
          <w:color w:val="auto"/>
          <w:sz w:val="28"/>
          <w:szCs w:val="28"/>
          <w:lang w:val="en-US" w:eastAsia="zh-CN"/>
        </w:rPr>
        <w:t>（二）</w:t>
      </w:r>
      <w:r>
        <w:rPr>
          <w:rFonts w:hint="eastAsia" w:eastAsia="楷体" w:cs="Times New Roman"/>
          <w:b/>
          <w:bCs/>
          <w:color w:val="auto"/>
          <w:sz w:val="28"/>
          <w:szCs w:val="28"/>
          <w:highlight w:val="none"/>
          <w:lang w:val="en-US" w:eastAsia="zh-CN"/>
        </w:rPr>
        <w:t>无线电通信</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随着西凤省级森林公园进一步的开发建设和全方位的开放，建设内容和游览项目逐步扩大，游客量也将日益增加，森林火灾等各种意外事件发生的可能性也会增大。为加强各景区森林防火指挥部的通信联络，便于森林公园的组织管理和游览，需购置对讲机10个。</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（三）邮政通信</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在森林公园游客集散中心设邮政代办点1处，结合出售纪念品等服务，为游客提供方便。</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（四）广播电视工程</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1.广播工程</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森林公园各景区利用现有的无线调频信号，在旅游服务设施集中区域设立接收终端，也可在景区、景点的旅游步道两侧设立背景广播提供服务。</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2.电视工程</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森林公园旅游服务设施集中区域实现有线电视光缆联网，开展数字电视服务，有线电视光缆可与电信线路并排综合埋地铺设；旅游服务设施分散地点则采用卫星接收方式接入电视服务。</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（五）网络工程</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旅游服务中心及管理区都接入互联网。同时，完善公园内通讯网络，在公园主要景点、景物布设传感器、监测仪器，开发自导系统，加快公园向智能化景区迈进的步伐。</w:t>
      </w:r>
    </w:p>
    <w:p>
      <w:pPr>
        <w:pStyle w:val="4"/>
        <w:rPr>
          <w:rFonts w:hint="eastAsia" w:ascii="宋体" w:hAnsi="宋体" w:eastAsia="宋体" w:cs="宋体"/>
          <w:lang w:val="en-US" w:eastAsia="zh-CN"/>
        </w:rPr>
      </w:pPr>
      <w:r>
        <w:rPr>
          <w:rFonts w:hint="eastAsia" w:ascii="宋体" w:hAnsi="宋体" w:eastAsia="宋体" w:cs="宋体"/>
          <w:lang w:val="en-US" w:eastAsia="zh-CN"/>
        </w:rPr>
        <w:t>四、道路交通规划</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（一）道路现状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1.对外交通条件</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西凤省级森林公园位于台前县城郊，地理位置优越。公园南门紧临G342，西侧紧挨高速，交通便捷。</w:t>
      </w:r>
    </w:p>
    <w:p>
      <w:pPr>
        <w:widowControl/>
        <w:adjustRightInd/>
        <w:snapToGrid/>
        <w:spacing w:line="360" w:lineRule="auto"/>
        <w:ind w:firstLine="560" w:firstLineChars="0"/>
        <w:jc w:val="both"/>
        <w:rPr>
          <w:rFonts w:hint="eastAsia" w:ascii="宋体" w:hAnsi="宋体" w:eastAsia="宋体" w:cs="宋体"/>
        </w:rPr>
      </w:pPr>
      <w:r>
        <w:rPr>
          <w:rFonts w:hint="eastAsia" w:eastAsia="宋体" w:cs="Times New Roman"/>
          <w:color w:val="auto"/>
          <w:sz w:val="28"/>
          <w:szCs w:val="28"/>
          <w:lang w:val="en-US" w:eastAsia="zh-CN"/>
        </w:rPr>
        <w:t>2.内部交通条</w:t>
      </w:r>
      <w:r>
        <w:rPr>
          <w:rFonts w:hint="eastAsia" w:ascii="宋体" w:hAnsi="宋体" w:eastAsia="宋体" w:cs="宋体"/>
        </w:rPr>
        <w:t>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内部道路是西凤省级森林公园的骨架，是联系森林公园各个分区景点的纽带，有组织引导游客参与各项活动的功能，同时也方便森林公园内部的管理及运输。经统计公园车行道总长5.5千米，路宽6米，为沥青路面，南北向有一条水泥路，游步道以林间小路为基础，已经形成较完整的体系，但部分道路仍处于未修整状态，亟待改善与修复。</w:t>
      </w:r>
    </w:p>
    <w:p>
      <w:pPr>
        <w:widowControl/>
        <w:adjustRightInd/>
        <w:snapToGrid/>
        <w:spacing w:line="360" w:lineRule="auto"/>
        <w:ind w:left="0" w:leftChars="0" w:firstLine="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 xml:space="preserve">公园已建机动车停车位80个，位于主广场，暂时未设置非机动车停                                                    </w:t>
      </w:r>
    </w:p>
    <w:p>
      <w:pPr>
        <w:widowControl/>
        <w:adjustRightInd/>
        <w:snapToGrid/>
        <w:spacing w:line="360" w:lineRule="auto"/>
        <w:ind w:left="0" w:leftChars="0" w:firstLine="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车位。</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6"/>
        <w:gridCol w:w="4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pPr>
              <w:ind w:left="0" w:leftChars="0" w:firstLine="0" w:firstLineChars="0"/>
              <w:rPr>
                <w:rFonts w:hint="eastAsia" w:eastAsia="仿宋"/>
                <w:vertAlign w:val="baseline"/>
                <w:lang w:eastAsia="zh-CN"/>
              </w:rPr>
            </w:pPr>
            <w:r>
              <w:rPr>
                <w:rFonts w:hint="eastAsia" w:eastAsia="仿宋"/>
                <w:vertAlign w:val="baseline"/>
                <w:lang w:eastAsia="zh-CN"/>
              </w:rPr>
              <w:drawing>
                <wp:inline distT="0" distB="0" distL="114300" distR="114300">
                  <wp:extent cx="1683385" cy="2626995"/>
                  <wp:effectExtent l="0" t="0" r="1905" b="12065"/>
                  <wp:docPr id="17" name="图片 17" descr="微信图片_2021042509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425093954"/>
                          <pic:cNvPicPr>
                            <a:picLocks noChangeAspect="1"/>
                          </pic:cNvPicPr>
                        </pic:nvPicPr>
                        <pic:blipFill>
                          <a:blip r:embed="rId38"/>
                          <a:srcRect l="38625"/>
                          <a:stretch>
                            <a:fillRect/>
                          </a:stretch>
                        </pic:blipFill>
                        <pic:spPr>
                          <a:xfrm rot="5400000">
                            <a:off x="0" y="0"/>
                            <a:ext cx="1683385" cy="2626995"/>
                          </a:xfrm>
                          <a:prstGeom prst="rect">
                            <a:avLst/>
                          </a:prstGeom>
                        </pic:spPr>
                      </pic:pic>
                    </a:graphicData>
                  </a:graphic>
                </wp:inline>
              </w:drawing>
            </w:r>
          </w:p>
        </w:tc>
        <w:tc>
          <w:tcPr>
            <w:tcW w:w="4261" w:type="dxa"/>
          </w:tcPr>
          <w:p>
            <w:pPr>
              <w:ind w:left="0" w:leftChars="0" w:firstLine="0" w:firstLineChars="0"/>
              <w:rPr>
                <w:rFonts w:hint="eastAsia" w:eastAsia="仿宋"/>
                <w:vertAlign w:val="baseline"/>
                <w:lang w:eastAsia="zh-CN"/>
              </w:rPr>
            </w:pPr>
            <w:r>
              <w:rPr>
                <w:rFonts w:hint="eastAsia" w:eastAsia="仿宋"/>
                <w:vertAlign w:val="baseline"/>
                <w:lang w:eastAsia="zh-CN"/>
              </w:rPr>
              <w:drawing>
                <wp:inline distT="0" distB="0" distL="114300" distR="114300">
                  <wp:extent cx="2520950" cy="1686560"/>
                  <wp:effectExtent l="0" t="0" r="12700" b="8890"/>
                  <wp:docPr id="26" name="图片 26" descr="微信图片_2021042509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425094054"/>
                          <pic:cNvPicPr>
                            <a:picLocks noChangeAspect="1"/>
                          </pic:cNvPicPr>
                        </pic:nvPicPr>
                        <pic:blipFill>
                          <a:blip r:embed="rId39"/>
                          <a:srcRect l="29607" t="35640"/>
                          <a:stretch>
                            <a:fillRect/>
                          </a:stretch>
                        </pic:blipFill>
                        <pic:spPr>
                          <a:xfrm>
                            <a:off x="0" y="0"/>
                            <a:ext cx="2520950" cy="1686560"/>
                          </a:xfrm>
                          <a:prstGeom prst="rect">
                            <a:avLst/>
                          </a:prstGeom>
                        </pic:spPr>
                      </pic:pic>
                    </a:graphicData>
                  </a:graphic>
                </wp:inline>
              </w:drawing>
            </w:r>
          </w:p>
        </w:tc>
      </w:tr>
    </w:tbl>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（二）道路规划原则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1.充分利用现有道路交通设施，应避免深挖高填、形成竖向创伤面，尽量不占林地，避免和减少对地表的破坏。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2.从有利于旅游线路的组织的角度出发，完善内部交通网络组织，创造安全、畅通、便捷、舒适、无公害的交通条件。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3.内部交通规划要形成环状布局，尽量避免游客走回头路。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4.因地制宜合理选择线路，道路设计应合理利用地形，与当地景观和环境相结合，充分考虑艺术效果，达到步移景异的效果。</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5.道路交通网络要兼顾营林、防火、管理等多方面的需要。</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（三）道路工程规划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西凤省级森林公园道路交通网络由主干道、游步道、停车场等构成。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1.主干道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主干道是西凤省级森林公园通向各管理服务区、景区以及景点之间彼此联系的车行道。主干道采用双向车道，行车道宽6-8米，路面等级为次高级，每隔约300米设置会车点一处，主要在现状道路的基础上进行改扩建，主干道长6千米。</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原有南北水泥路作为次干道予以保留。</w:t>
      </w:r>
    </w:p>
    <w:p>
      <w:pPr>
        <w:widowControl/>
        <w:adjustRightInd/>
        <w:snapToGrid/>
        <w:spacing w:line="360" w:lineRule="auto"/>
        <w:ind w:firstLine="480" w:firstLineChars="0"/>
        <w:jc w:val="center"/>
        <w:rPr>
          <w:rFonts w:hint="default" w:ascii="黑体" w:hAnsi="黑体" w:eastAsia="黑体" w:cs="Times New Roman"/>
          <w:color w:val="auto"/>
          <w:sz w:val="24"/>
          <w:lang w:val="en-US" w:eastAsia="zh-CN"/>
        </w:rPr>
      </w:pPr>
      <w:r>
        <w:rPr>
          <w:rFonts w:hint="eastAsia" w:ascii="黑体" w:hAnsi="黑体" w:eastAsia="黑体" w:cs="Times New Roman"/>
          <w:color w:val="auto"/>
          <w:sz w:val="24"/>
        </w:rPr>
        <w:t>表</w:t>
      </w:r>
      <w:r>
        <w:rPr>
          <w:rFonts w:ascii="黑体" w:hAnsi="黑体" w:eastAsia="黑体" w:cs="Times New Roman"/>
          <w:color w:val="auto"/>
          <w:sz w:val="24"/>
        </w:rPr>
        <w:t>7-</w:t>
      </w:r>
      <w:r>
        <w:rPr>
          <w:rFonts w:hint="eastAsia" w:ascii="黑体" w:hAnsi="黑体" w:eastAsia="黑体" w:cs="Times New Roman"/>
          <w:color w:val="auto"/>
          <w:sz w:val="24"/>
          <w:lang w:val="en-US" w:eastAsia="zh-CN"/>
        </w:rPr>
        <w:t>2</w:t>
      </w:r>
      <w:r>
        <w:rPr>
          <w:rFonts w:ascii="黑体" w:hAnsi="黑体" w:eastAsia="黑体" w:cs="Times New Roman"/>
          <w:color w:val="auto"/>
          <w:sz w:val="24"/>
        </w:rPr>
        <w:t xml:space="preserve">  </w:t>
      </w:r>
      <w:r>
        <w:rPr>
          <w:rFonts w:hint="eastAsia" w:ascii="黑体" w:hAnsi="黑体" w:eastAsia="黑体" w:cs="Times New Roman"/>
          <w:color w:val="auto"/>
          <w:sz w:val="24"/>
        </w:rPr>
        <w:t>西凤省级森林公园主干道</w:t>
      </w:r>
      <w:r>
        <w:rPr>
          <w:rFonts w:hint="eastAsia" w:ascii="黑体" w:hAnsi="黑体" w:eastAsia="黑体" w:cs="Times New Roman"/>
          <w:color w:val="auto"/>
          <w:sz w:val="24"/>
          <w:lang w:val="en-US" w:eastAsia="zh-CN"/>
        </w:rPr>
        <w:t>规划表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51"/>
        <w:gridCol w:w="1577"/>
        <w:gridCol w:w="1917"/>
        <w:gridCol w:w="186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851"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名称</w:t>
            </w:r>
          </w:p>
        </w:tc>
        <w:tc>
          <w:tcPr>
            <w:tcW w:w="925"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主干道起点</w:t>
            </w:r>
          </w:p>
        </w:tc>
        <w:tc>
          <w:tcPr>
            <w:tcW w:w="1124"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主干道终点</w:t>
            </w:r>
          </w:p>
        </w:tc>
        <w:tc>
          <w:tcPr>
            <w:tcW w:w="1093"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长度（</w:t>
            </w:r>
            <w:r>
              <w:rPr>
                <w:rFonts w:hint="eastAsia" w:eastAsia="宋体" w:cs="Times New Roman"/>
                <w:b/>
                <w:sz w:val="21"/>
                <w:szCs w:val="21"/>
                <w:lang w:val="en-US" w:eastAsia="zh-CN"/>
              </w:rPr>
              <w:t>千米</w:t>
            </w:r>
            <w:r>
              <w:rPr>
                <w:rFonts w:hint="default" w:ascii="Times New Roman" w:hAnsi="Times New Roman" w:eastAsia="宋体" w:cs="Times New Roman"/>
                <w:b/>
                <w:sz w:val="21"/>
                <w:szCs w:val="21"/>
              </w:rPr>
              <w:t>）</w:t>
            </w:r>
          </w:p>
        </w:tc>
        <w:tc>
          <w:tcPr>
            <w:tcW w:w="503" w:type="pct"/>
            <w:vAlign w:val="center"/>
          </w:tcPr>
          <w:p>
            <w:pPr>
              <w:topLinePunct/>
              <w:spacing w:line="36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公园主环道</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南入口</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南入口（环路）</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85</w:t>
            </w:r>
          </w:p>
        </w:tc>
        <w:tc>
          <w:tcPr>
            <w:tcW w:w="503"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南小门通道</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南小门</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主环道</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0.17</w:t>
            </w:r>
          </w:p>
        </w:tc>
        <w:tc>
          <w:tcPr>
            <w:tcW w:w="503"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广场主路</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南入口</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滨水广场</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0.32</w:t>
            </w:r>
          </w:p>
        </w:tc>
        <w:tc>
          <w:tcPr>
            <w:tcW w:w="503"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广场主路</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滨水广场</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主环道</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0.26</w:t>
            </w:r>
          </w:p>
        </w:tc>
        <w:tc>
          <w:tcPr>
            <w:tcW w:w="503"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西入口通道</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西入口</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主环道</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503" w:type="pct"/>
            <w:vAlign w:val="center"/>
          </w:tcPr>
          <w:p>
            <w:pPr>
              <w:topLinePunct/>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51" w:type="pct"/>
            <w:vAlign w:val="center"/>
          </w:tcPr>
          <w:p>
            <w:pPr>
              <w:topLinePunct/>
              <w:spacing w:line="360" w:lineRule="exact"/>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北入口通道</w:t>
            </w: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北入口</w:t>
            </w: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主环道</w:t>
            </w: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0.32</w:t>
            </w:r>
          </w:p>
        </w:tc>
        <w:tc>
          <w:tcPr>
            <w:tcW w:w="503" w:type="pct"/>
            <w:vAlign w:val="center"/>
          </w:tcPr>
          <w:p>
            <w:pPr>
              <w:topLinePunct/>
              <w:spacing w:line="36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topLinePunct/>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851" w:type="pct"/>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925" w:type="pct"/>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1124" w:type="pct"/>
            <w:vAlign w:val="center"/>
          </w:tcPr>
          <w:p>
            <w:pPr>
              <w:topLinePunct/>
              <w:spacing w:line="360" w:lineRule="exact"/>
              <w:ind w:firstLine="0" w:firstLineChars="0"/>
              <w:jc w:val="center"/>
              <w:rPr>
                <w:rFonts w:hint="default" w:ascii="Times New Roman" w:hAnsi="Times New Roman" w:eastAsia="宋体" w:cs="Times New Roman"/>
                <w:sz w:val="21"/>
                <w:szCs w:val="21"/>
              </w:rPr>
            </w:pPr>
          </w:p>
        </w:tc>
        <w:tc>
          <w:tcPr>
            <w:tcW w:w="1093" w:type="pct"/>
            <w:vAlign w:val="center"/>
          </w:tcPr>
          <w:p>
            <w:pPr>
              <w:topLinePunct/>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503" w:type="pct"/>
            <w:vAlign w:val="center"/>
          </w:tcPr>
          <w:p>
            <w:pPr>
              <w:topLinePunct/>
              <w:spacing w:line="360" w:lineRule="exact"/>
              <w:ind w:firstLine="0" w:firstLineChars="0"/>
              <w:jc w:val="center"/>
              <w:rPr>
                <w:rFonts w:hint="default" w:ascii="Times New Roman" w:hAnsi="Times New Roman" w:eastAsia="宋体" w:cs="Times New Roman"/>
                <w:sz w:val="21"/>
                <w:szCs w:val="21"/>
              </w:rPr>
            </w:pPr>
          </w:p>
        </w:tc>
      </w:tr>
    </w:tbl>
    <w:p>
      <w:pPr>
        <w:ind w:left="0" w:leftChars="0" w:firstLine="0" w:firstLineChars="0"/>
        <w:rPr>
          <w:rFonts w:hint="default"/>
          <w:lang w:val="en-US" w:eastAsia="zh-CN"/>
        </w:rPr>
      </w:pPr>
    </w:p>
    <w:p>
      <w:pPr>
        <w:ind w:left="0" w:leftChars="0" w:firstLine="0" w:firstLineChars="0"/>
        <w:rPr>
          <w:rFonts w:hint="default"/>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2.游步道（巡护道和防火道）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的游步道具有组织空间、引导游览、集散人流等多种功能。西凤省级森林公园的游步道以原来的林间小道、巡护步道为基础，已经基本形成完善的网络体系，但是由于道路未经整修，行走不便，部分路段存在安全隐患。考虑到西凤省级森林公园城郊型公园的定位，平时居民前来健身休闲人数较多，需进一步规划巡护道和防火道结合游步道功能，既能保障森林公园的森林生态安全，也能进一步完善森林公园的游步道系统，丰富森林公园的可游玩性。</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坚固、平稳、耐磨、防滑、易清扫和方便游览的要求，现有游步道需要经过重新整修，材料以石料和砂石土为主。游步道的路面应简洁粗犷，在原有林间小道基础上改造，体现森林野趣，宽度以0.8～1.2米为主。</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6"/>
        <w:gridCol w:w="42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5" w:hRule="atLeast"/>
        </w:trPr>
        <w:tc>
          <w:tcPr>
            <w:tcW w:w="4246"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0320" cy="2087245"/>
                  <wp:effectExtent l="0" t="0" r="11430" b="8255"/>
                  <wp:docPr id="27" name="图片 27" descr="2934349b033b5bb587bae8c73dd3d539b600b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934349b033b5bb587bae8c73dd3d539b600bc9e"/>
                          <pic:cNvPicPr>
                            <a:picLocks noChangeAspect="1"/>
                          </pic:cNvPicPr>
                        </pic:nvPicPr>
                        <pic:blipFill>
                          <a:blip r:embed="rId40"/>
                          <a:stretch>
                            <a:fillRect/>
                          </a:stretch>
                        </pic:blipFill>
                        <pic:spPr>
                          <a:xfrm>
                            <a:off x="0" y="0"/>
                            <a:ext cx="2560320" cy="2087245"/>
                          </a:xfrm>
                          <a:prstGeom prst="rect">
                            <a:avLst/>
                          </a:prstGeom>
                        </pic:spPr>
                      </pic:pic>
                    </a:graphicData>
                  </a:graphic>
                </wp:inline>
              </w:drawing>
            </w:r>
          </w:p>
        </w:tc>
        <w:tc>
          <w:tcPr>
            <w:tcW w:w="4223"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80640" cy="2094230"/>
                  <wp:effectExtent l="0" t="0" r="10160" b="1270"/>
                  <wp:docPr id="29" name="图片 29" descr="src=http___photo.tuchong.com_21166420_f_880610287.jpg&amp;refer=http___photo.tu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rc=http___photo.tuchong.com_21166420_f_880610287.jpg&amp;refer=http___photo.tuchong"/>
                          <pic:cNvPicPr>
                            <a:picLocks noChangeAspect="1"/>
                          </pic:cNvPicPr>
                        </pic:nvPicPr>
                        <pic:blipFill>
                          <a:blip r:embed="rId41"/>
                          <a:stretch>
                            <a:fillRect/>
                          </a:stretch>
                        </pic:blipFill>
                        <pic:spPr>
                          <a:xfrm>
                            <a:off x="0" y="0"/>
                            <a:ext cx="2580640" cy="2094230"/>
                          </a:xfrm>
                          <a:prstGeom prst="rect">
                            <a:avLst/>
                          </a:prstGeom>
                        </pic:spPr>
                      </pic:pic>
                    </a:graphicData>
                  </a:graphic>
                </wp:inline>
              </w:drawing>
            </w:r>
          </w:p>
        </w:tc>
      </w:tr>
    </w:tbl>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3.停车场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从环境保护的角度出发，应严格控制进入森林公园的机动车规模。根据公园的总体布局、游客量和人流去向，规划扩建森林文化广场（主广场）停车场，新建北入口广场停车场、滨水广场停车场、西入口广场，并建非机动车停车位。具体见下表（表7-3）。</w:t>
      </w:r>
    </w:p>
    <w:p>
      <w:pPr>
        <w:widowControl/>
        <w:adjustRightInd/>
        <w:snapToGrid/>
        <w:spacing w:line="360" w:lineRule="auto"/>
        <w:ind w:firstLine="480" w:firstLineChars="0"/>
        <w:jc w:val="center"/>
        <w:rPr>
          <w:rFonts w:hint="eastAsia" w:ascii="黑体" w:hAnsi="黑体" w:eastAsia="黑体" w:cs="Times New Roman"/>
          <w:color w:val="auto"/>
          <w:sz w:val="24"/>
        </w:rPr>
      </w:pPr>
      <w:r>
        <w:rPr>
          <w:rFonts w:hint="eastAsia" w:ascii="黑体" w:hAnsi="黑体" w:eastAsia="黑体" w:cs="Times New Roman"/>
          <w:color w:val="auto"/>
          <w:sz w:val="24"/>
        </w:rPr>
        <w:t>表</w:t>
      </w:r>
      <w:r>
        <w:rPr>
          <w:rFonts w:ascii="黑体" w:hAnsi="黑体" w:eastAsia="黑体" w:cs="Times New Roman"/>
          <w:color w:val="auto"/>
          <w:sz w:val="24"/>
        </w:rPr>
        <w:t>7-</w:t>
      </w:r>
      <w:r>
        <w:rPr>
          <w:rFonts w:hint="eastAsia" w:ascii="黑体" w:hAnsi="黑体" w:eastAsia="黑体" w:cs="Times New Roman"/>
          <w:color w:val="auto"/>
          <w:sz w:val="24"/>
          <w:lang w:val="en-US" w:eastAsia="zh-CN"/>
        </w:rPr>
        <w:t>3</w:t>
      </w:r>
      <w:r>
        <w:rPr>
          <w:rFonts w:ascii="黑体" w:hAnsi="黑体" w:eastAsia="黑体" w:cs="Times New Roman"/>
          <w:color w:val="auto"/>
          <w:sz w:val="24"/>
        </w:rPr>
        <w:t xml:space="preserve"> </w:t>
      </w:r>
      <w:r>
        <w:rPr>
          <w:rFonts w:hint="eastAsia" w:ascii="黑体" w:hAnsi="黑体" w:eastAsia="黑体" w:cs="Times New Roman"/>
          <w:color w:val="auto"/>
          <w:sz w:val="24"/>
        </w:rPr>
        <w:t>西凤省级森林公园停车场规划表</w:t>
      </w:r>
    </w:p>
    <w:tbl>
      <w:tblPr>
        <w:tblStyle w:val="12"/>
        <w:tblW w:w="47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2397"/>
        <w:gridCol w:w="2167"/>
        <w:gridCol w:w="1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blHeader/>
          <w:jc w:val="center"/>
        </w:trPr>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val="en-US" w:eastAsia="zh-CN"/>
              </w:rPr>
              <w:t>位置</w:t>
            </w:r>
          </w:p>
        </w:tc>
        <w:tc>
          <w:tcPr>
            <w:tcW w:w="14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类型</w:t>
            </w:r>
          </w:p>
        </w:tc>
        <w:tc>
          <w:tcPr>
            <w:tcW w:w="13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个数（个）</w:t>
            </w:r>
          </w:p>
        </w:tc>
        <w:tc>
          <w:tcPr>
            <w:tcW w:w="118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森</w:t>
            </w:r>
            <w:r>
              <w:rPr>
                <w:rFonts w:hint="default" w:ascii="Times New Roman" w:hAnsi="Times New Roman" w:eastAsia="宋体" w:cs="Times New Roman"/>
                <w:kern w:val="0"/>
                <w:sz w:val="21"/>
                <w:szCs w:val="21"/>
              </w:rPr>
              <w:t>林文化广场</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主广场</w:t>
            </w:r>
            <w:r>
              <w:rPr>
                <w:rFonts w:hint="default" w:ascii="Times New Roman" w:hAnsi="Times New Roman" w:eastAsia="宋体" w:cs="Times New Roman"/>
                <w:kern w:val="0"/>
                <w:sz w:val="21"/>
                <w:szCs w:val="21"/>
                <w:lang w:eastAsia="zh-CN"/>
              </w:rPr>
              <w:t>）</w:t>
            </w:r>
          </w:p>
        </w:tc>
        <w:tc>
          <w:tcPr>
            <w:tcW w:w="1469" w:type="pct"/>
            <w:tcBorders>
              <w:top w:val="single" w:color="auto" w:sz="4" w:space="0"/>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机动车位</w:t>
            </w:r>
          </w:p>
        </w:tc>
        <w:tc>
          <w:tcPr>
            <w:tcW w:w="1328" w:type="pct"/>
            <w:tcBorders>
              <w:top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100</w:t>
            </w:r>
          </w:p>
        </w:tc>
        <w:tc>
          <w:tcPr>
            <w:tcW w:w="1184" w:type="pct"/>
            <w:tcBorders>
              <w:top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1"/>
                <w:szCs w:val="21"/>
              </w:rPr>
            </w:pP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北入口广场</w:t>
            </w: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eastAsia" w:eastAsia="宋体" w:cs="Times New Roman"/>
                <w:kern w:val="0"/>
                <w:sz w:val="21"/>
                <w:szCs w:val="21"/>
                <w:lang w:val="en-US" w:eastAsia="zh-CN"/>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1"/>
                <w:szCs w:val="21"/>
              </w:rPr>
            </w:pP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滨水广场</w:t>
            </w: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1"/>
                <w:szCs w:val="21"/>
              </w:rPr>
            </w:pP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restart"/>
            <w:tcBorders>
              <w:top w:val="single" w:color="auto" w:sz="4" w:space="0"/>
              <w:left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西入口广场</w:t>
            </w: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1017"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kern w:val="0"/>
                <w:sz w:val="21"/>
                <w:szCs w:val="21"/>
                <w:lang w:val="en-US"/>
              </w:rPr>
            </w:pPr>
          </w:p>
        </w:tc>
        <w:tc>
          <w:tcPr>
            <w:tcW w:w="1469"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非机动车位</w:t>
            </w:r>
          </w:p>
        </w:tc>
        <w:tc>
          <w:tcPr>
            <w:tcW w:w="1328"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20</w:t>
            </w:r>
          </w:p>
        </w:tc>
        <w:tc>
          <w:tcPr>
            <w:tcW w:w="1184" w:type="pct"/>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10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合计</w:t>
            </w:r>
          </w:p>
        </w:tc>
        <w:tc>
          <w:tcPr>
            <w:tcW w:w="279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机动车170个，非机动车1</w:t>
            </w:r>
            <w:r>
              <w:rPr>
                <w:rFonts w:hint="eastAsia" w:eastAsia="宋体" w:cs="Times New Roman"/>
                <w:kern w:val="0"/>
                <w:sz w:val="21"/>
                <w:szCs w:val="21"/>
                <w:lang w:val="en-US" w:eastAsia="zh-CN"/>
              </w:rPr>
              <w:t>4</w:t>
            </w:r>
            <w:r>
              <w:rPr>
                <w:rFonts w:hint="default" w:ascii="Times New Roman" w:hAnsi="Times New Roman" w:eastAsia="宋体" w:cs="Times New Roman"/>
                <w:kern w:val="0"/>
                <w:sz w:val="21"/>
                <w:szCs w:val="21"/>
                <w:lang w:val="en-US" w:eastAsia="zh-CN"/>
              </w:rPr>
              <w:t>0个</w:t>
            </w:r>
          </w:p>
        </w:tc>
        <w:tc>
          <w:tcPr>
            <w:tcW w:w="1184" w:type="pct"/>
            <w:tcBorders>
              <w:left w:val="single" w:color="auto" w:sz="4" w:space="0"/>
            </w:tcBorders>
            <w:shd w:val="clear" w:color="auto" w:fill="auto"/>
            <w:vAlign w:val="center"/>
          </w:tcPr>
          <w:p>
            <w:pPr>
              <w:widowControl/>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5500</w:t>
            </w:r>
          </w:p>
        </w:tc>
      </w:tr>
    </w:tbl>
    <w:p>
      <w:pPr>
        <w:ind w:firstLine="0" w:firstLineChars="0"/>
        <w:rPr>
          <w:rFonts w:hint="eastAsia"/>
          <w:b/>
          <w:sz w:val="24"/>
          <w:szCs w:val="21"/>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停车场以生态化建设为主，不使用全硬质铺装地面或水泥地面，采用草坪砖，既可防冲刷，又可渗透地表。</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20"/>
        <w:gridCol w:w="4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5" w:hRule="atLeast"/>
        </w:trPr>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629535" cy="2063750"/>
                  <wp:effectExtent l="0" t="0" r="18415" b="12700"/>
                  <wp:docPr id="32" name="图片 32" descr="src=http___www.dipingjianshe.com_storage_upload_image_20180702_uP9ypvPywTBaLN4jB4JT1svNcYT1g1LvEVxDoP0C.jpeg&amp;refer=http___www.dipingjian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rc=http___www.dipingjianshe.com_storage_upload_image_20180702_uP9ypvPywTBaLN4jB4JT1svNcYT1g1LvEVxDoP0C.jpeg&amp;refer=http___www.dipingjianshe"/>
                          <pic:cNvPicPr>
                            <a:picLocks noChangeAspect="1"/>
                          </pic:cNvPicPr>
                        </pic:nvPicPr>
                        <pic:blipFill>
                          <a:blip r:embed="rId42"/>
                          <a:stretch>
                            <a:fillRect/>
                          </a:stretch>
                        </pic:blipFill>
                        <pic:spPr>
                          <a:xfrm>
                            <a:off x="0" y="0"/>
                            <a:ext cx="2629535" cy="2063750"/>
                          </a:xfrm>
                          <a:prstGeom prst="rect">
                            <a:avLst/>
                          </a:prstGeom>
                        </pic:spPr>
                      </pic:pic>
                    </a:graphicData>
                  </a:graphic>
                </wp:inline>
              </w:drawing>
            </w:r>
          </w:p>
        </w:tc>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9845" cy="2105660"/>
                  <wp:effectExtent l="0" t="0" r="1905" b="8890"/>
                  <wp:docPr id="33" name="图片 33" descr="src=http___www.dipingchangjia.com_upfiles_2017_0509_591165396111b358918140.jpg&amp;refer=http___www.dipingchang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rc=http___www.dipingchangjia.com_upfiles_2017_0509_591165396111b358918140.jpg&amp;refer=http___www.dipingchangjia"/>
                          <pic:cNvPicPr>
                            <a:picLocks noChangeAspect="1"/>
                          </pic:cNvPicPr>
                        </pic:nvPicPr>
                        <pic:blipFill>
                          <a:blip r:embed="rId43"/>
                          <a:stretch>
                            <a:fillRect/>
                          </a:stretch>
                        </pic:blipFill>
                        <pic:spPr>
                          <a:xfrm>
                            <a:off x="0" y="0"/>
                            <a:ext cx="2569845" cy="2105660"/>
                          </a:xfrm>
                          <a:prstGeom prst="rect">
                            <a:avLst/>
                          </a:prstGeom>
                        </pic:spPr>
                      </pic:pic>
                    </a:graphicData>
                  </a:graphic>
                </wp:inline>
              </w:drawing>
            </w:r>
          </w:p>
        </w:tc>
      </w:tr>
    </w:tbl>
    <w:p>
      <w:pPr>
        <w:pStyle w:val="3"/>
        <w:rPr>
          <w:rFonts w:hint="eastAsia"/>
          <w:lang w:val="en-US" w:eastAsia="zh-CN"/>
        </w:rPr>
      </w:pPr>
      <w:bookmarkStart w:id="86" w:name="_Toc3580"/>
      <w:r>
        <w:rPr>
          <w:rFonts w:hint="eastAsia"/>
          <w:lang w:val="en-US" w:eastAsia="zh-CN"/>
        </w:rPr>
        <w:t>第二节 服务设施规划</w:t>
      </w:r>
      <w:bookmarkEnd w:id="86"/>
    </w:p>
    <w:p>
      <w:pPr>
        <w:pStyle w:val="4"/>
        <w:rPr>
          <w:rFonts w:hint="eastAsia" w:ascii="宋体" w:hAnsi="宋体" w:eastAsia="宋体" w:cs="宋体"/>
          <w:lang w:val="en-US" w:eastAsia="zh-CN"/>
        </w:rPr>
      </w:pPr>
      <w:r>
        <w:rPr>
          <w:rFonts w:hint="eastAsia" w:ascii="宋体" w:hAnsi="宋体" w:eastAsia="宋体" w:cs="宋体"/>
          <w:lang w:val="en-US" w:eastAsia="zh-CN"/>
        </w:rPr>
        <w:t>一、餐饮与住宿</w:t>
      </w:r>
    </w:p>
    <w:p>
      <w:pPr>
        <w:widowControl/>
        <w:adjustRightInd/>
        <w:snapToGrid/>
        <w:spacing w:line="360" w:lineRule="auto"/>
        <w:ind w:firstLine="560" w:firstLineChars="0"/>
        <w:jc w:val="both"/>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综合考虑森林公园规模、特点、客源市场等多种因素，公园内部暂不设置餐饮及住宿等大型服务设施。公园为城郊型森林公园，毗邻城镇，交通便利，可以依托附近的乡镇农家乐等条件，与客源结构相适应，充分利用周边现有餐饮、住宿设施，开发当地绿色食品，适度发展家庭旅馆，形成特色食宿。</w:t>
      </w:r>
    </w:p>
    <w:p>
      <w:pPr>
        <w:pStyle w:val="4"/>
        <w:rPr>
          <w:rFonts w:hint="eastAsia" w:ascii="宋体" w:hAnsi="宋体" w:eastAsia="宋体" w:cs="宋体"/>
          <w:lang w:val="en-US" w:eastAsia="zh-CN"/>
        </w:rPr>
      </w:pPr>
      <w:r>
        <w:rPr>
          <w:rFonts w:hint="eastAsia" w:ascii="宋体" w:hAnsi="宋体" w:eastAsia="宋体" w:cs="宋体"/>
          <w:lang w:val="en-US" w:eastAsia="zh-CN"/>
        </w:rPr>
        <w:t>二、娱乐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在严格保护西凤省级森林公园生态环境不受干扰、破坏的前提下，规划在游客集散中心、森林文化广场、滨水景观平台以及其他服务接待设施或景点内增设一些娱乐设施和项目来丰富游客的娱乐生活。</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该类设施与主要客源的需求和消费水平相适应，集知识性、趣味性和文明性于一体。包含了健身娱乐类、歌舞休闲类等。在森林公园范围内，还可开展森林冒险、森林康养、森林迷宫等体育娱乐活动。</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8" w:hRule="atLeast"/>
        </w:trPr>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6670" cy="1840865"/>
                  <wp:effectExtent l="0" t="0" r="5080" b="6985"/>
                  <wp:docPr id="34" name="图片 34" descr="src=http___nimg.ws.126.net__url=http%3A%2F%2Fdingyue.ws.126.net%2F2021%2F0408%2F10d2c6a6j00qr8h5j001qc000dv008xm.jpg&amp;thumbnail=650x2147483647&amp;quality=80&amp;type=jpg&amp;refer=http___nimg.w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rc=http___nimg.ws.126.net__url=http%3A%2F%2Fdingyue.ws.126.net%2F2021%2F0408%2F10d2c6a6j00qr8h5j001qc000dv008xm.jpg&amp;thumbnail=650x2147483647&amp;quality=80&amp;type=jpg&amp;refer=http___nimg.ws.126"/>
                          <pic:cNvPicPr>
                            <a:picLocks noChangeAspect="1"/>
                          </pic:cNvPicPr>
                        </pic:nvPicPr>
                        <pic:blipFill>
                          <a:blip r:embed="rId44"/>
                          <a:stretch>
                            <a:fillRect/>
                          </a:stretch>
                        </pic:blipFill>
                        <pic:spPr>
                          <a:xfrm>
                            <a:off x="0" y="0"/>
                            <a:ext cx="2566670" cy="1840865"/>
                          </a:xfrm>
                          <a:prstGeom prst="rect">
                            <a:avLst/>
                          </a:prstGeom>
                        </pic:spPr>
                      </pic:pic>
                    </a:graphicData>
                  </a:graphic>
                </wp:inline>
              </w:drawing>
            </w:r>
          </w:p>
        </w:tc>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0955" cy="1886585"/>
                  <wp:effectExtent l="0" t="0" r="10795" b="18415"/>
                  <wp:docPr id="35" name="图片 35" descr="src=http___pavo.elongstatic.com_trip940_0007LWhu.jpg&amp;refer=http___pavo.elong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rc=http___pavo.elongstatic.com_trip940_0007LWhu.jpg&amp;refer=http___pavo.elongstatic"/>
                          <pic:cNvPicPr>
                            <a:picLocks noChangeAspect="1"/>
                          </pic:cNvPicPr>
                        </pic:nvPicPr>
                        <pic:blipFill>
                          <a:blip r:embed="rId45"/>
                          <a:srcRect b="6855"/>
                          <a:stretch>
                            <a:fillRect/>
                          </a:stretch>
                        </pic:blipFill>
                        <pic:spPr>
                          <a:xfrm>
                            <a:off x="0" y="0"/>
                            <a:ext cx="2560955" cy="1886585"/>
                          </a:xfrm>
                          <a:prstGeom prst="rect">
                            <a:avLst/>
                          </a:prstGeom>
                        </pic:spPr>
                      </pic:pic>
                    </a:graphicData>
                  </a:graphic>
                </wp:inline>
              </w:drawing>
            </w:r>
          </w:p>
        </w:tc>
      </w:tr>
    </w:tbl>
    <w:p>
      <w:pPr>
        <w:pStyle w:val="4"/>
        <w:rPr>
          <w:rFonts w:hint="eastAsia" w:ascii="宋体" w:hAnsi="宋体" w:eastAsia="宋体" w:cs="宋体"/>
          <w:lang w:val="en-US" w:eastAsia="zh-CN"/>
        </w:rPr>
      </w:pPr>
      <w:r>
        <w:rPr>
          <w:rFonts w:hint="eastAsia" w:ascii="宋体" w:hAnsi="宋体" w:eastAsia="宋体" w:cs="宋体"/>
          <w:lang w:val="en-US" w:eastAsia="zh-CN"/>
        </w:rPr>
        <w:t>三、购物</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（一）购物场所的设置</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内的购物场所应按照合理布局，兼顾各方，高、中、低档商品比例适当，满足不同层次的游客需要的原则进行设置，并与森林公园内的娱乐服务设施等网点同步建设。同时，应严格控制森林公园内的旅游商品销售网点的数量，以保持森林公园良好的旅游形象。</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规划的主要购物场所有游客集散中心即游客服务中心购物商店5个，结合部分零散的服务点，以销售台前特产、旅游纪念品等旅游商品为主；公园内部零散的服务点可以销售一些遮阳帽、墨镜、儿童玩具、零食等旅游产品。</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（二）旅游商品的开发</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1.土特产系列</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台前县特产有牛骨髓油茶、粘面墩、台前小尾寒羊、吴坝大蒜等。其中：牛骨髓油茶，特点是鲜美可口，五香味浓郁。粘面墩，特点是外焦里嫩，粘甜适口。台前小尾寒羊，台前县是小尾寒羊繁育基地。“吴坝大蒜”已通过国家工商总局商标局的“地理标志”注册。特点是蒜头大、皮薄、质细辣味香，蒜泥汁多，且粘稠不干。</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公园内结合游客集散中心、服务中心及一些服务网点内可进行销售以上土特产，不仅可以增加公园收入，还有进行台前当地的民俗文化宣传的效果。</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2.工艺品系列</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森林特色工艺品：就地取材，设计精美，突出森林特色。如竹雕、盆景及一些编织物等工艺品。</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干花工艺品：花束、花篮、贺卡、书签等。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纪念章、钥匙链等：取材于森林公园风光，精美制作。</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对于此类旅游纪念品，可请工艺美术家吸收台前民间工艺品的特点，设计出更多样式、更具艺术性的图案，以提高工艺品的档次吸引游客购买。</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2"/>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5" w:hRule="atLeast"/>
        </w:trPr>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5400" cy="1880870"/>
                  <wp:effectExtent l="0" t="0" r="6350" b="5080"/>
                  <wp:docPr id="36" name="图片 36" descr="src=http___pic111.huitu.com_res_20181026_1861527_20181026203653332070_1.jpg&amp;refer=http___pic111.hu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rc=http___pic111.huitu.com_res_20181026_1861527_20181026203653332070_1.jpg&amp;refer=http___pic111.huitu"/>
                          <pic:cNvPicPr>
                            <a:picLocks noChangeAspect="1"/>
                          </pic:cNvPicPr>
                        </pic:nvPicPr>
                        <pic:blipFill>
                          <a:blip r:embed="rId46"/>
                          <a:srcRect b="6137"/>
                          <a:stretch>
                            <a:fillRect/>
                          </a:stretch>
                        </pic:blipFill>
                        <pic:spPr>
                          <a:xfrm>
                            <a:off x="0" y="0"/>
                            <a:ext cx="2565400" cy="1880870"/>
                          </a:xfrm>
                          <a:prstGeom prst="rect">
                            <a:avLst/>
                          </a:prstGeom>
                        </pic:spPr>
                      </pic:pic>
                    </a:graphicData>
                  </a:graphic>
                </wp:inline>
              </w:drawing>
            </w:r>
          </w:p>
        </w:tc>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637790" cy="1873250"/>
                  <wp:effectExtent l="0" t="0" r="10160" b="12700"/>
                  <wp:docPr id="59" name="图片 59" descr="src=http___img4.cache.netease.com_house_2015_12_28_2015122810055001800.jpg&amp;refer=http___img4.cache.net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src=http___img4.cache.netease.com_house_2015_12_28_2015122810055001800.jpg&amp;refer=http___img4.cache.netease"/>
                          <pic:cNvPicPr>
                            <a:picLocks noChangeAspect="1"/>
                          </pic:cNvPicPr>
                        </pic:nvPicPr>
                        <pic:blipFill>
                          <a:blip r:embed="rId47"/>
                          <a:stretch>
                            <a:fillRect/>
                          </a:stretch>
                        </pic:blipFill>
                        <pic:spPr>
                          <a:xfrm>
                            <a:off x="0" y="0"/>
                            <a:ext cx="2637790" cy="1873250"/>
                          </a:xfrm>
                          <a:prstGeom prst="rect">
                            <a:avLst/>
                          </a:prstGeom>
                        </pic:spPr>
                      </pic:pic>
                    </a:graphicData>
                  </a:graphic>
                </wp:inline>
              </w:drawing>
            </w:r>
          </w:p>
        </w:tc>
      </w:tr>
    </w:tbl>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3.文化艺术品系列</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邮品系列：邮品具有纪念意义和收藏价</w:t>
      </w:r>
      <w:r>
        <w:rPr>
          <w:rFonts w:hint="eastAsia" w:eastAsia="宋体" w:cs="Times New Roman"/>
          <w:color w:val="auto"/>
          <w:sz w:val="28"/>
          <w:szCs w:val="28"/>
          <w:lang w:val="en-US" w:eastAsia="zh-CN"/>
        </w:rPr>
        <w:tab/>
      </w:r>
      <w:r>
        <w:rPr>
          <w:rFonts w:hint="eastAsia" w:eastAsia="宋体" w:cs="Times New Roman"/>
          <w:color w:val="auto"/>
          <w:sz w:val="28"/>
          <w:szCs w:val="28"/>
          <w:lang w:val="en-US" w:eastAsia="zh-CN"/>
        </w:rPr>
        <w:t>值，可在各服务点出售公园旅游系列邮票、首日封、以及公园风光及民俗风情明信片。</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声像制品系列：制作反映公园风貌、民俗风情和特色产品等的录像或VCD，制作发行公园旅游的广告歌单曲CD或MTV，供出售或赠知名人士。</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书籍系列：涉及台前自然风光、红色文化、黄河文化、民风民俗类的书籍等。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4.旅游用品系列</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印有公园典型风光或标志的文化衫、手帕、背包、遮阳帽、雨伞、雨衣、拐杖等旅游用品及导游图、导游手册等及太阳伞、吊床、野营帐篷、旅游鞋、折叠椅、折叠凳、望远镜。</w:t>
      </w:r>
    </w:p>
    <w:p>
      <w:pPr>
        <w:pStyle w:val="4"/>
        <w:rPr>
          <w:rFonts w:hint="eastAsia" w:ascii="宋体" w:hAnsi="宋体" w:eastAsia="宋体" w:cs="宋体"/>
          <w:lang w:val="en-US" w:eastAsia="zh-CN"/>
        </w:rPr>
      </w:pPr>
      <w:r>
        <w:rPr>
          <w:rFonts w:hint="eastAsia" w:ascii="宋体" w:hAnsi="宋体" w:eastAsia="宋体" w:cs="宋体"/>
          <w:lang w:val="en-US" w:eastAsia="zh-CN"/>
        </w:rPr>
        <w:t>四、导游标志</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（一）标志类型</w:t>
      </w:r>
    </w:p>
    <w:p>
      <w:pPr>
        <w:tabs>
          <w:tab w:val="left" w:pos="1678"/>
        </w:tabs>
        <w:bidi w:val="0"/>
        <w:ind w:left="0" w:leftChars="0"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参考A级旅游景区导览标识系统设计设置规范，公园内各种引导标识包括五大类型：导游全景图、景物（景点）介绍牌、道路导向指示牌、警示关怀牌、服务设施名称标识等。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1.导游全景图（景区总平面图）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包含公园全景地图、公园文字介绍，游客须知、景点相关信息，服务管理部门电话等全景导游图。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2.景物（景点）介绍牌</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指景点、景物牌介绍，相关来历、典故综合介绍，设计尺寸，景点说明牌，区域导游图。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3.道路导向指示牌</w:t>
      </w:r>
    </w:p>
    <w:p>
      <w:pPr>
        <w:widowControl/>
        <w:adjustRightInd/>
        <w:snapToGrid/>
        <w:spacing w:line="360" w:lineRule="auto"/>
        <w:ind w:firstLine="560" w:firstLineChars="0"/>
        <w:jc w:val="both"/>
        <w:rPr>
          <w:rFonts w:hint="eastAsia" w:eastAsia="宋体" w:cs="Times New Roman"/>
          <w:color w:val="auto"/>
          <w:sz w:val="28"/>
          <w:szCs w:val="28"/>
          <w:highlight w:val="yellow"/>
          <w:lang w:val="en-US" w:eastAsia="zh-CN"/>
        </w:rPr>
      </w:pPr>
      <w:r>
        <w:rPr>
          <w:rFonts w:hint="eastAsia" w:eastAsia="宋体" w:cs="Times New Roman"/>
          <w:color w:val="auto"/>
          <w:sz w:val="28"/>
          <w:szCs w:val="28"/>
          <w:lang w:val="en-US" w:eastAsia="zh-CN"/>
        </w:rPr>
        <w:t>内容包括道路标志牌、公厕指示牌、停车场指示牌等。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4.警示关怀牌</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提示游客注意安全及保护环境等一些温馨提示、警戒、警示牌。</w:t>
      </w:r>
    </w:p>
    <w:p>
      <w:pPr>
        <w:widowControl/>
        <w:numPr>
          <w:ilvl w:val="0"/>
          <w:numId w:val="6"/>
        </w:numPr>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服务设施名称标识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出入口、游客中心、医疗点、娱乐项目、厕所、景区景点等一些</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公共场所的提示标识牌。</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31"/>
        <w:gridCol w:w="4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7305" cy="1925320"/>
                  <wp:effectExtent l="0" t="0" r="4445" b="17780"/>
                  <wp:docPr id="60" name="图片 60" descr="3e2bd9370c3547c5aa15a5a45c618206_700_0_ma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e2bd9370c3547c5aa15a5a45c618206_700_0_max_JPG"/>
                          <pic:cNvPicPr>
                            <a:picLocks noChangeAspect="1"/>
                          </pic:cNvPicPr>
                        </pic:nvPicPr>
                        <pic:blipFill>
                          <a:blip r:embed="rId48"/>
                          <a:stretch>
                            <a:fillRect/>
                          </a:stretch>
                        </pic:blipFill>
                        <pic:spPr>
                          <a:xfrm>
                            <a:off x="0" y="0"/>
                            <a:ext cx="2567305" cy="1925320"/>
                          </a:xfrm>
                          <a:prstGeom prst="rect">
                            <a:avLst/>
                          </a:prstGeom>
                        </pic:spPr>
                      </pic:pic>
                    </a:graphicData>
                  </a:graphic>
                </wp:inline>
              </w:drawing>
            </w:r>
          </w:p>
        </w:tc>
        <w:tc>
          <w:tcPr>
            <w:tcW w:w="4261" w:type="dxa"/>
          </w:tcPr>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602230" cy="1886585"/>
                  <wp:effectExtent l="0" t="0" r="7620" b="18415"/>
                  <wp:docPr id="62" name="图片 62" descr="cfcb8bea4dcb4bfd90ccef2b7f8eb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fcb8bea4dcb4bfd90ccef2b7f8eb8d6"/>
                          <pic:cNvPicPr>
                            <a:picLocks noChangeAspect="1"/>
                          </pic:cNvPicPr>
                        </pic:nvPicPr>
                        <pic:blipFill>
                          <a:blip r:embed="rId49"/>
                          <a:srcRect t="29533" b="22393"/>
                          <a:stretch>
                            <a:fillRect/>
                          </a:stretch>
                        </pic:blipFill>
                        <pic:spPr>
                          <a:xfrm>
                            <a:off x="0" y="0"/>
                            <a:ext cx="2602230" cy="1886585"/>
                          </a:xfrm>
                          <a:prstGeom prst="rect">
                            <a:avLst/>
                          </a:prstGeom>
                        </pic:spPr>
                      </pic:pic>
                    </a:graphicData>
                  </a:graphic>
                </wp:inline>
              </w:drawing>
            </w:r>
          </w:p>
        </w:tc>
      </w:tr>
    </w:tbl>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（二）设置要求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导游标志应讲究唯一性、美观性、环保型、人文性等特征，突出重点，通俗易懂。森林公园境界、出入口、功能区、重要景点、景物、游径端点和险要地段，应设置明显的标志牌，森林公园入口处必须设置大型森林公园示意图。如动植物景观介绍牌要说明景物的科属、外观特征、习性、珍稀程度、保护等级等；服务引导标识在景区、景点、出入口等处设置引导牌，并视功能需要标明方向、位置、距离等信息。</w:t>
      </w:r>
    </w:p>
    <w:p>
      <w:pPr>
        <w:pStyle w:val="4"/>
        <w:rPr>
          <w:rFonts w:hint="default" w:ascii="宋体" w:hAnsi="宋体" w:eastAsia="宋体" w:cs="宋体"/>
          <w:lang w:val="en-US" w:eastAsia="zh-CN"/>
        </w:rPr>
      </w:pPr>
      <w:r>
        <w:rPr>
          <w:rFonts w:hint="eastAsia" w:ascii="宋体" w:hAnsi="宋体" w:eastAsia="宋体" w:cs="宋体"/>
          <w:lang w:val="en-US" w:eastAsia="zh-CN"/>
        </w:rPr>
        <w:t>五、环卫设施</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（一）垃圾处理与设施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1.</w:t>
      </w:r>
      <w:r>
        <w:rPr>
          <w:rFonts w:hint="eastAsia" w:eastAsia="宋体" w:cs="Times New Roman"/>
          <w:color w:val="auto"/>
          <w:sz w:val="28"/>
          <w:szCs w:val="28"/>
        </w:rPr>
        <w:t>垃圾分类收集，出园处理</w:t>
      </w:r>
    </w:p>
    <w:p>
      <w:pPr>
        <w:widowControl/>
        <w:adjustRightInd/>
        <w:snapToGrid/>
        <w:spacing w:line="360" w:lineRule="auto"/>
        <w:ind w:firstLine="560" w:firstLineChars="0"/>
        <w:jc w:val="both"/>
        <w:rPr>
          <w:rFonts w:hint="eastAsia" w:eastAsia="宋体" w:cs="Times New Roman"/>
          <w:color w:val="auto"/>
          <w:sz w:val="28"/>
          <w:szCs w:val="28"/>
          <w:highlight w:val="none"/>
        </w:rPr>
      </w:pPr>
      <w:r>
        <w:rPr>
          <w:rFonts w:hint="eastAsia" w:eastAsia="宋体" w:cs="Times New Roman"/>
          <w:color w:val="auto"/>
          <w:sz w:val="28"/>
          <w:szCs w:val="28"/>
        </w:rPr>
        <w:t>制定环境卫生专项方案，垃圾</w:t>
      </w:r>
      <w:r>
        <w:rPr>
          <w:rFonts w:hint="eastAsia" w:eastAsia="宋体" w:cs="Times New Roman"/>
          <w:color w:val="auto"/>
          <w:sz w:val="28"/>
          <w:szCs w:val="28"/>
          <w:highlight w:val="none"/>
        </w:rPr>
        <w:t>箱等设施与环境设施建设同步。把垃圾分成</w:t>
      </w:r>
      <w:r>
        <w:rPr>
          <w:rFonts w:hint="eastAsia" w:eastAsia="宋体" w:cs="Times New Roman"/>
          <w:color w:val="auto"/>
          <w:sz w:val="28"/>
          <w:szCs w:val="28"/>
          <w:highlight w:val="none"/>
          <w:lang w:val="en-US" w:eastAsia="zh-CN"/>
        </w:rPr>
        <w:t>可回收</w:t>
      </w:r>
      <w:r>
        <w:rPr>
          <w:rFonts w:hint="eastAsia" w:eastAsia="宋体" w:cs="Times New Roman"/>
          <w:color w:val="auto"/>
          <w:sz w:val="28"/>
          <w:szCs w:val="28"/>
          <w:highlight w:val="none"/>
        </w:rPr>
        <w:t>、</w:t>
      </w:r>
      <w:r>
        <w:rPr>
          <w:rFonts w:hint="eastAsia" w:eastAsia="宋体" w:cs="Times New Roman"/>
          <w:color w:val="auto"/>
          <w:sz w:val="28"/>
          <w:szCs w:val="28"/>
          <w:highlight w:val="none"/>
          <w:lang w:val="en-US" w:eastAsia="zh-CN"/>
        </w:rPr>
        <w:t>有害垃圾、其它垃圾</w:t>
      </w:r>
      <w:r>
        <w:rPr>
          <w:rFonts w:hint="eastAsia" w:eastAsia="宋体" w:cs="Times New Roman"/>
          <w:color w:val="auto"/>
          <w:sz w:val="28"/>
          <w:szCs w:val="28"/>
          <w:highlight w:val="none"/>
        </w:rPr>
        <w:t>，有利于废品回收利用，减少垃圾清运量。垃圾清运时封闭装车，防止散落造成二次污染。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2.物品重复利用，贯彻物尽其用的原则</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在确保不降低服务设施和服务标准的前提下，把一次性使用变为多次反复使用，杜绝浪费、节约资源，减少垃圾产量。</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3.</w:t>
      </w:r>
      <w:r>
        <w:rPr>
          <w:rFonts w:hint="eastAsia" w:eastAsia="宋体" w:cs="Times New Roman"/>
          <w:color w:val="auto"/>
          <w:sz w:val="28"/>
          <w:szCs w:val="28"/>
        </w:rPr>
        <w:t>垃圾收集处理设施建设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目前</w:t>
      </w:r>
      <w:r>
        <w:rPr>
          <w:rFonts w:hint="eastAsia" w:eastAsia="宋体" w:cs="Times New Roman"/>
          <w:color w:val="auto"/>
          <w:sz w:val="28"/>
          <w:szCs w:val="28"/>
        </w:rPr>
        <w:t>公园内暂未设置垃圾箱</w:t>
      </w:r>
      <w:r>
        <w:rPr>
          <w:rFonts w:hint="eastAsia" w:eastAsia="宋体" w:cs="Times New Roman"/>
          <w:color w:val="auto"/>
          <w:sz w:val="28"/>
          <w:szCs w:val="28"/>
          <w:lang w:eastAsia="zh-CN"/>
        </w:rPr>
        <w:t>，</w:t>
      </w:r>
      <w:r>
        <w:rPr>
          <w:rFonts w:hint="eastAsia" w:eastAsia="宋体" w:cs="Times New Roman"/>
          <w:color w:val="auto"/>
          <w:sz w:val="28"/>
          <w:szCs w:val="28"/>
          <w:lang w:val="en-US" w:eastAsia="zh-CN"/>
        </w:rPr>
        <w:t>无法满足公园未来的发展，</w:t>
      </w:r>
      <w:r>
        <w:rPr>
          <w:rFonts w:hint="eastAsia" w:eastAsia="宋体" w:cs="Times New Roman"/>
          <w:color w:val="auto"/>
          <w:sz w:val="28"/>
          <w:szCs w:val="28"/>
        </w:rPr>
        <w:t>规划沿主环路、游步道、停车场、广场处增加垃圾箱</w:t>
      </w:r>
      <w:r>
        <w:rPr>
          <w:rFonts w:hint="eastAsia" w:eastAsia="宋体" w:cs="Times New Roman"/>
          <w:color w:val="auto"/>
          <w:sz w:val="28"/>
          <w:szCs w:val="28"/>
          <w:lang w:val="en-US" w:eastAsia="zh-CN"/>
        </w:rPr>
        <w:t>100</w:t>
      </w:r>
      <w:r>
        <w:rPr>
          <w:rFonts w:hint="eastAsia" w:eastAsia="宋体" w:cs="Times New Roman"/>
          <w:color w:val="auto"/>
          <w:sz w:val="28"/>
          <w:szCs w:val="28"/>
        </w:rPr>
        <w:t>个，</w:t>
      </w:r>
      <w:r>
        <w:rPr>
          <w:rFonts w:hint="eastAsia" w:eastAsia="宋体" w:cs="Times New Roman"/>
          <w:color w:val="auto"/>
          <w:sz w:val="28"/>
          <w:szCs w:val="28"/>
          <w:lang w:val="en-US" w:eastAsia="zh-CN"/>
        </w:rPr>
        <w:t>设置1处垃圾分类集中收集点，</w:t>
      </w:r>
      <w:r>
        <w:rPr>
          <w:rFonts w:hint="eastAsia" w:eastAsia="宋体" w:cs="Times New Roman"/>
          <w:color w:val="auto"/>
          <w:sz w:val="28"/>
          <w:szCs w:val="28"/>
        </w:rPr>
        <w:t>将垃圾进行分类收集后，统一转运至附近垃圾处理厂进行处理。</w:t>
      </w:r>
      <w:r>
        <w:rPr>
          <w:rFonts w:hint="eastAsia" w:eastAsia="宋体" w:cs="Times New Roman"/>
          <w:color w:val="auto"/>
          <w:sz w:val="28"/>
          <w:szCs w:val="28"/>
          <w:lang w:val="en-US" w:eastAsia="zh-CN"/>
        </w:rPr>
        <w:t>可在</w:t>
      </w:r>
      <w:r>
        <w:rPr>
          <w:rFonts w:hint="eastAsia" w:eastAsia="宋体" w:cs="Times New Roman"/>
          <w:color w:val="auto"/>
          <w:sz w:val="28"/>
          <w:szCs w:val="28"/>
        </w:rPr>
        <w:t>主要游览线路上每隔200米设置1个垃圾箱。各景区</w:t>
      </w:r>
      <w:r>
        <w:rPr>
          <w:rFonts w:hint="eastAsia" w:eastAsia="宋体" w:cs="Times New Roman"/>
          <w:color w:val="auto"/>
          <w:sz w:val="28"/>
          <w:szCs w:val="28"/>
          <w:lang w:val="en-US" w:eastAsia="zh-CN"/>
        </w:rPr>
        <w:t>（点）的地面垃圾要由专人清扫，并集中运出处理。</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0320" cy="2073910"/>
                  <wp:effectExtent l="0" t="0" r="11430" b="2540"/>
                  <wp:docPr id="63" name="图片 63" descr="O1CN01uobNlR1TDQTidYT8H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O1CN01uobNlR1TDQTidYT8H_!!0-item_pic"/>
                          <pic:cNvPicPr>
                            <a:picLocks noChangeAspect="1"/>
                          </pic:cNvPicPr>
                        </pic:nvPicPr>
                        <pic:blipFill>
                          <a:blip r:embed="rId50"/>
                          <a:srcRect b="20833"/>
                          <a:stretch>
                            <a:fillRect/>
                          </a:stretch>
                        </pic:blipFill>
                        <pic:spPr>
                          <a:xfrm>
                            <a:off x="0" y="0"/>
                            <a:ext cx="2560320" cy="2073910"/>
                          </a:xfrm>
                          <a:prstGeom prst="rect">
                            <a:avLst/>
                          </a:prstGeom>
                        </pic:spPr>
                      </pic:pic>
                    </a:graphicData>
                  </a:graphic>
                </wp:inline>
              </w:drawing>
            </w:r>
          </w:p>
        </w:tc>
        <w:tc>
          <w:tcPr>
            <w:tcW w:w="4261" w:type="dxa"/>
          </w:tcPr>
          <w:p>
            <w:pPr>
              <w:widowControl/>
              <w:adjustRightInd/>
              <w:snapToGrid/>
              <w:spacing w:line="360" w:lineRule="auto"/>
              <w:ind w:left="0" w:leftChars="0" w:firstLine="0" w:firstLineChars="0"/>
              <w:jc w:val="both"/>
              <w:rPr>
                <w:rFonts w:hint="eastAsia" w:eastAsia="宋体" w:cs="Times New Roman"/>
                <w:color w:val="auto"/>
                <w:sz w:val="28"/>
                <w:szCs w:val="28"/>
                <w:vertAlign w:val="baseline"/>
                <w:lang w:val="en-US" w:eastAsia="zh-CN"/>
              </w:rPr>
            </w:pPr>
            <w:r>
              <w:rPr>
                <w:rFonts w:hint="eastAsia" w:eastAsia="宋体" w:cs="Times New Roman"/>
                <w:color w:val="auto"/>
                <w:sz w:val="28"/>
                <w:szCs w:val="28"/>
                <w:vertAlign w:val="baseline"/>
                <w:lang w:val="en-US" w:eastAsia="zh-CN"/>
              </w:rPr>
              <w:drawing>
                <wp:inline distT="0" distB="0" distL="114300" distR="114300">
                  <wp:extent cx="2563495" cy="2136140"/>
                  <wp:effectExtent l="0" t="0" r="8255" b="16510"/>
                  <wp:docPr id="76" name="图片 76" descr="O1CN01cgjBTZ1gkwWeD8rVX_!!1037284181.jpg_300x30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O1CN01cgjBTZ1gkwWeD8rVX_!!1037284181.jpg_300x300q90"/>
                          <pic:cNvPicPr>
                            <a:picLocks noChangeAspect="1"/>
                          </pic:cNvPicPr>
                        </pic:nvPicPr>
                        <pic:blipFill>
                          <a:blip r:embed="rId51"/>
                          <a:stretch>
                            <a:fillRect/>
                          </a:stretch>
                        </pic:blipFill>
                        <pic:spPr>
                          <a:xfrm>
                            <a:off x="0" y="0"/>
                            <a:ext cx="2563495" cy="2136140"/>
                          </a:xfrm>
                          <a:prstGeom prst="rect">
                            <a:avLst/>
                          </a:prstGeom>
                        </pic:spPr>
                      </pic:pic>
                    </a:graphicData>
                  </a:graphic>
                </wp:inline>
              </w:drawing>
            </w:r>
          </w:p>
        </w:tc>
      </w:tr>
    </w:tbl>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（二）旅游厕所建设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目前公园已建设5处公厕（集管理、灌溉、厕所、防火、防灾等功能的综合管理用房），规划增建5处多功能综合管理用房，建设高标准的生态厕所、环保厕所，保证外观整洁、内部干净，使用安全。排泄物沼气化、肥料化利用，严禁设置露天粪坑。在森林公园各景区（点）按国家标准修建设施较好、标准较高的公厕或免冲式、节水、无公害的旅游厕所以及相配的污水生化处理池。干道旅游厕所的服务半径控制在1000～2000米，步行30分钟范围内需设置厕所，游客较集中的地块相应增加厕所蹲位。为了增加森林公园的游览趣味性，旅游厕所的设计在考虑其功能性的同时，应注重其景观性和趣味性，可依据厕所周围环境对其外型上做相应的设计。</w:t>
      </w:r>
    </w:p>
    <w:p>
      <w:pPr>
        <w:pStyle w:val="4"/>
        <w:rPr>
          <w:rFonts w:hint="eastAsia" w:ascii="宋体" w:hAnsi="宋体" w:eastAsia="宋体" w:cs="宋体"/>
          <w:lang w:val="en-US" w:eastAsia="zh-CN"/>
        </w:rPr>
      </w:pPr>
      <w:r>
        <w:rPr>
          <w:rFonts w:hint="eastAsia" w:ascii="宋体" w:hAnsi="宋体" w:eastAsia="宋体" w:cs="宋体"/>
          <w:lang w:val="en-US" w:eastAsia="zh-CN"/>
        </w:rPr>
        <w:t>六、医疗设施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游客集散中心、游客服务中心配套医护中心，与台前县人民医院形成合作关系。配备专业医护人员、救护车、急救电话，配备常备药品，具有进行一般及紧急医疗救护的能力，保障旅游安全。同时负责疫情预防和疫情报告，在卫生防疫部门的指导下积极进行流行病的预防和治疗工作，以保证游客的身体健康和生命安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在相关景区内应设医疗救护点1处，救护点内应备有急救箱、急救担架、日常药品，设内部救援电话，对救护人员进行急救培训并达到持证上岗的水平，能解决游客的一般性疾病。对与游客长时间密切接触的员工，包括导游、游客服务中心、运动项目等处的服务人员等，进行医疗卫生常识培训和紧急伤病处理操作技能培训，务必使其了解和掌握旅游者患病的预防和紧急处理程序。</w:t>
      </w:r>
    </w:p>
    <w:p>
      <w:pPr>
        <w:ind w:firstLine="560"/>
        <w:rPr>
          <w:rFonts w:hint="eastAsia"/>
        </w:rPr>
      </w:pPr>
    </w:p>
    <w:p>
      <w:pPr>
        <w:ind w:firstLine="560"/>
        <w:rPr>
          <w:rFonts w:hint="eastAsia"/>
        </w:rPr>
      </w:pPr>
    </w:p>
    <w:p>
      <w:pPr>
        <w:ind w:left="0" w:leftChars="0" w:firstLine="0" w:firstLineChars="0"/>
        <w:rPr>
          <w:rFonts w:hint="eastAsia"/>
        </w:rPr>
      </w:pP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87" w:name="_Toc27133"/>
      <w:r>
        <w:rPr>
          <w:rFonts w:hint="eastAsia" w:cs="Times New Roman"/>
          <w:b w:val="0"/>
          <w:bCs w:val="0"/>
          <w:i w:val="0"/>
          <w:iCs/>
          <w:color w:val="auto"/>
          <w:kern w:val="44"/>
          <w:szCs w:val="44"/>
        </w:rPr>
        <w:t>第八章 植被与森林景观规划</w:t>
      </w:r>
      <w:bookmarkEnd w:id="87"/>
    </w:p>
    <w:p>
      <w:pPr>
        <w:pStyle w:val="3"/>
        <w:rPr>
          <w:rFonts w:hint="eastAsia"/>
          <w:lang w:val="en-US" w:eastAsia="zh-CN"/>
        </w:rPr>
      </w:pPr>
      <w:bookmarkStart w:id="88" w:name="_Toc521613809"/>
      <w:bookmarkStart w:id="89" w:name="_Toc20493"/>
      <w:r>
        <w:rPr>
          <w:rFonts w:hint="eastAsia"/>
          <w:lang w:val="en-US" w:eastAsia="zh-CN"/>
        </w:rPr>
        <w:t>第一节  规划原则</w:t>
      </w:r>
      <w:bookmarkEnd w:id="88"/>
      <w:bookmarkEnd w:id="89"/>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植被与森林景观建设过程中应该严格保护森林公园内现有植被，植物景观布局以保护和利用为主，改造为辅；景区、景点美化，应因地因景制宜，点、线、面相结合，乔、灌、藤、草搭配。同时需要遵循以下原则：</w:t>
      </w:r>
    </w:p>
    <w:p>
      <w:pPr>
        <w:pStyle w:val="4"/>
        <w:rPr>
          <w:rFonts w:hint="eastAsia" w:ascii="宋体" w:hAnsi="宋体" w:eastAsia="宋体" w:cs="宋体"/>
          <w:lang w:val="en-US" w:eastAsia="zh-CN"/>
        </w:rPr>
      </w:pPr>
      <w:r>
        <w:rPr>
          <w:rFonts w:hint="eastAsia" w:ascii="宋体" w:hAnsi="宋体" w:eastAsia="宋体" w:cs="宋体"/>
          <w:lang w:val="en-US" w:eastAsia="zh-CN"/>
        </w:rPr>
        <w:t>一、保护优先，开发保护相结合的原则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以生态理论为指导，以森林生态环境为主体，以保护为前提，开发与保护相结合。在开展森林旅游的同时，重点保护好森林生态环境。根据人工造景的需要，在保持良好生态环境前提下，进行植被改造，为游客营造出丰富多彩的植被景观。</w:t>
      </w:r>
    </w:p>
    <w:p>
      <w:pPr>
        <w:pStyle w:val="4"/>
        <w:rPr>
          <w:rFonts w:hint="eastAsia" w:ascii="宋体" w:hAnsi="宋体" w:eastAsia="宋体" w:cs="宋体"/>
          <w:lang w:val="en-US" w:eastAsia="zh-CN"/>
        </w:rPr>
      </w:pPr>
      <w:r>
        <w:rPr>
          <w:rFonts w:hint="eastAsia" w:ascii="宋体" w:hAnsi="宋体" w:eastAsia="宋体" w:cs="宋体"/>
          <w:lang w:val="en-US" w:eastAsia="zh-CN"/>
        </w:rPr>
        <w:t>二、因地制宜，适地适树的原则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维持森林公园内植被景观的个性化就必须在森林公园绿化及植被改造过程中因地制宜发掘大量乡土植物来突出地方特色，充分利用观赏价值高的优良速生乡土树种进行植物景观的培育，增加树种组合和空间层次，体现植物景观的多样性和地带性。从而尽量减少外来植物对景观的影响；同时植被景观规划过程中对不同植被景观斑块的处理也应遵循原有植被分布规律。</w:t>
      </w:r>
    </w:p>
    <w:p>
      <w:pPr>
        <w:widowControl/>
        <w:numPr>
          <w:ilvl w:val="0"/>
          <w:numId w:val="0"/>
        </w:numPr>
        <w:adjustRightInd/>
        <w:snapToGrid/>
        <w:spacing w:line="360" w:lineRule="auto"/>
        <w:ind w:leftChars="0"/>
        <w:jc w:val="both"/>
        <w:rPr>
          <w:rFonts w:hint="eastAsia" w:ascii="宋体" w:hAnsi="宋体" w:eastAsia="宋体" w:cs="宋体"/>
          <w:b/>
          <w:bCs/>
          <w:sz w:val="30"/>
          <w:szCs w:val="30"/>
          <w:lang w:val="en-US" w:eastAsia="zh-CN"/>
        </w:rPr>
      </w:pPr>
    </w:p>
    <w:p>
      <w:pPr>
        <w:widowControl/>
        <w:numPr>
          <w:ilvl w:val="0"/>
          <w:numId w:val="0"/>
        </w:numPr>
        <w:adjustRightInd/>
        <w:snapToGrid/>
        <w:spacing w:line="360" w:lineRule="auto"/>
        <w:ind w:leftChars="0"/>
        <w:jc w:val="both"/>
        <w:rPr>
          <w:rFonts w:hint="eastAsia" w:ascii="宋体" w:hAnsi="宋体" w:eastAsia="宋体" w:cs="宋体"/>
          <w:b/>
          <w:bCs/>
          <w:sz w:val="30"/>
          <w:szCs w:val="30"/>
          <w:lang w:val="en-US" w:eastAsia="zh-CN"/>
        </w:rPr>
      </w:pPr>
    </w:p>
    <w:p>
      <w:pPr>
        <w:widowControl/>
        <w:numPr>
          <w:ilvl w:val="0"/>
          <w:numId w:val="0"/>
        </w:numPr>
        <w:adjustRightInd/>
        <w:snapToGrid/>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三、长期规划，统筹考虑的原则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林木的自然生长需要有一个较长的周期，决定了植被规划是一个有别于其他景观规划的较为长期的过程，许多绿化景观的形成可能远大于森林公园建设规划的期限。基于这些特点，植被规划必须遵循以群落演替的自然规律为根本。</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植被和森林景观规划，必须遵循植物群落的演替客观规律，以封禁、保育等手段为主，在保障森林公园森林植被基础稳定和完整的前提下，结合生态疏伐、人工更新等手段，对森林植被进行定向性的优化。避免人工干扰过度而打破原有植被演替规律，以致减缓森林植被的恢复速度。</w:t>
      </w:r>
    </w:p>
    <w:p>
      <w:pPr>
        <w:pStyle w:val="4"/>
        <w:rPr>
          <w:rFonts w:hint="eastAsia" w:ascii="宋体" w:hAnsi="宋体" w:eastAsia="宋体" w:cs="宋体"/>
          <w:lang w:val="en-US" w:eastAsia="zh-CN"/>
        </w:rPr>
      </w:pPr>
      <w:r>
        <w:rPr>
          <w:rFonts w:hint="eastAsia" w:ascii="宋体" w:hAnsi="宋体" w:eastAsia="宋体" w:cs="宋体"/>
          <w:lang w:val="en-US" w:eastAsia="zh-CN"/>
        </w:rPr>
        <w:t>四、功能多样，相互兼顾的原则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集合了观景、休憩、疗养、保健、科普等多种功能为一体，这就注定它的改造方式的多样化，同样的森林，要为不同的目的服务，因此，更需要进行合理的，统一的安排，做到功能完善，相互兼顾。注重生态、经济、社会三大效益结合以及面上植物景观与点线植物景观的结合。</w:t>
      </w:r>
    </w:p>
    <w:p>
      <w:pPr>
        <w:pStyle w:val="3"/>
        <w:rPr>
          <w:rFonts w:hint="eastAsia"/>
          <w:lang w:val="en-US" w:eastAsia="zh-CN"/>
        </w:rPr>
      </w:pPr>
      <w:bookmarkStart w:id="90" w:name="_Toc521613810"/>
      <w:bookmarkStart w:id="91" w:name="_Toc11925"/>
      <w:r>
        <w:rPr>
          <w:rFonts w:hint="eastAsia"/>
          <w:lang w:val="en-US" w:eastAsia="zh-CN"/>
        </w:rPr>
        <w:t>第二节  植被规划</w:t>
      </w:r>
      <w:bookmarkEnd w:id="90"/>
      <w:bookmarkEnd w:id="91"/>
    </w:p>
    <w:p>
      <w:pPr>
        <w:pStyle w:val="4"/>
        <w:rPr>
          <w:rFonts w:hint="eastAsia" w:ascii="宋体" w:hAnsi="宋体" w:eastAsia="宋体" w:cs="宋体"/>
          <w:lang w:val="en-US" w:eastAsia="zh-CN"/>
        </w:rPr>
      </w:pPr>
      <w:r>
        <w:rPr>
          <w:rFonts w:hint="eastAsia" w:ascii="宋体" w:hAnsi="宋体" w:eastAsia="宋体" w:cs="宋体"/>
          <w:lang w:val="en-US" w:eastAsia="zh-CN"/>
        </w:rPr>
        <w:t>一、植被现状分析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植被葱翠浓郁，森林覆盖率为90.59%，主要由阔叶类、杉类、松类等组成，包括悬铃木林、银杏林、杜仲林、柳树林、水杉林等。总体来看，公园内森林密布、林木葱茏，森林覆盖率高，森林植被林相较好、景观效果较佳，营造出自然优美、野趣十足的森林生态旅游大环境。但是，从森林旅游发展的要求来看，缺少常绿阔叶林，森林景观季相变化不明显，缺少观常绿和色叶树种，缺乏具有强烈视觉冲击力的森林景观，以至于野趣有余而风景不足。根据旅游活动开展的需要，需对相应的区域进行森林植被与林相改造和提升。</w:t>
      </w:r>
    </w:p>
    <w:p>
      <w:pPr>
        <w:pStyle w:val="4"/>
        <w:rPr>
          <w:rFonts w:hint="eastAsia" w:ascii="宋体" w:hAnsi="宋体" w:eastAsia="宋体" w:cs="宋体"/>
          <w:lang w:val="en-US" w:eastAsia="zh-CN"/>
        </w:rPr>
      </w:pPr>
      <w:r>
        <w:rPr>
          <w:rFonts w:hint="eastAsia" w:ascii="宋体" w:hAnsi="宋体" w:eastAsia="宋体" w:cs="宋体"/>
          <w:lang w:val="en-US" w:eastAsia="zh-CN"/>
        </w:rPr>
        <w:t>二、植被规划</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（一）总体控制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保育：保护现有物种资源，根据当地原生森林群落的结构特点，引进必要的植被物种，使之建立共生依存，相互促进的森林生态群落。对森林植被进行科学的定向抚育，培育优势树种，加快改造使其尽快开发形成有观赏性的森林群落景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改造：主要分布在林分的边缘、游步道的周边以及建筑的房前屋后等。优先选择在立地条件良好的地块进行景观目标化改造，结合景观改造，补植彩色、珍贵景观树种，如红枫、垂丝海棠、银杏、紫薇、枫香等。</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（二）分区施策</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为契合森林公园不同功能区各自功能的有效发挥，需要在总体控制前提下，对植被规划进行分区分类施策。</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旅游区：该类区域现状植被也多良好，保护区域内现有阔叶林，结合不同游憩主题营造特色的森林景观。如在道路两侧，可根据所在的区域不同，选择观赏性乔、灌木进行绿化，并配以耐荫性草本花卉植物，形成整齐美观、赏心悦目的环境空间。可结合林相改造进行适度的卫生采伐和抚育改造的措施进行管理。对区域内阔叶林进行保护，同时结合珍贵彩色森林建设，清理林分下层植被，优化现有森林景观，营造良好的休闲运动环境。</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生产经营区：生产经营区内主要种植果树和经济林木，规划种植核桃、枣、樱桃、苹果、银杏、杜仲等树种，并可搭配当地生态农业作物，形成新型农林体验区，吸引游客开展采摘主题旅游活动，推动地方休闲旅游经济。</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管理服务区：该类区域侧重管理和游客集散，植被规划应提高植被覆盖度，公园入口周围植被重点改造提升，考虑观赏性较强的乔灌草相结合的植物景观，主要植物可选用水杉、黑松、西府海棠、紫薇、紫荆、红叶石楠等，管理用房周边绿化可选择桂花、早园竹、红枫等，并配以草本花卉植物，形成整齐美观、赏心悦目的环境空间。</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生态保育区：是公园内人为活动较少的林区，植被景观以原生态保护为主。 </w:t>
      </w:r>
    </w:p>
    <w:p>
      <w:pPr>
        <w:pStyle w:val="3"/>
        <w:rPr>
          <w:rFonts w:hint="eastAsia"/>
          <w:lang w:val="en-US" w:eastAsia="zh-CN"/>
        </w:rPr>
      </w:pPr>
      <w:bookmarkStart w:id="92" w:name="_Toc9224"/>
      <w:bookmarkStart w:id="93" w:name="_Toc521613811"/>
      <w:r>
        <w:rPr>
          <w:rFonts w:hint="eastAsia"/>
          <w:lang w:val="en-US" w:eastAsia="zh-CN"/>
        </w:rPr>
        <w:t>第三节  森林植物景观规划</w:t>
      </w:r>
      <w:bookmarkEnd w:id="92"/>
      <w:bookmarkEnd w:id="93"/>
    </w:p>
    <w:p>
      <w:pPr>
        <w:pStyle w:val="4"/>
        <w:rPr>
          <w:rFonts w:hint="eastAsia" w:ascii="宋体" w:hAnsi="宋体" w:eastAsia="宋体" w:cs="宋体"/>
          <w:lang w:val="en-US" w:eastAsia="zh-CN"/>
        </w:rPr>
      </w:pPr>
      <w:r>
        <w:rPr>
          <w:rFonts w:hint="eastAsia" w:ascii="宋体" w:hAnsi="宋体" w:eastAsia="宋体" w:cs="宋体"/>
          <w:lang w:val="en-US" w:eastAsia="zh-CN"/>
        </w:rPr>
        <w:t>一、景点森林景观规划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首先，自然景点的森林景观以保护现有的森林景观为主，仅对确实需要改造的景观进行人工干预，如对水杉林内则补植常绿阔叶树种或观赏树种，使其成为针阔混交林；对林相较差的林分及林中空地进行林分改造或造林；对林下卫生状况较差的林分进行卫生伐或林下清理，同时清理路边杂草，适当种植一些观赏类乔灌木，做到既整齐、美观，又不失自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其次，应根据景点的设计立意进行森林景观营造，在充分考虑景点周围森林景观大背景的前提下，合理地配置景点附近的森林景观，营造彼此之间相互衬托、融为一体的森林景观。如在公园入口两侧增加微地形与绿化植被，以竹类、春花秋叶植物为主要前景观赏植物，结合地形种植大乔木形成背景林。又如结合梁庙沟水系，丰富滨水植物带，加强滨水景观节点的湿地氛围。</w:t>
      </w:r>
    </w:p>
    <w:p>
      <w:pPr>
        <w:pStyle w:val="4"/>
        <w:rPr>
          <w:rFonts w:hint="eastAsia" w:ascii="宋体" w:hAnsi="宋体" w:eastAsia="宋体" w:cs="宋体"/>
          <w:lang w:val="en-US" w:eastAsia="zh-CN"/>
        </w:rPr>
      </w:pPr>
      <w:r>
        <w:rPr>
          <w:rFonts w:hint="eastAsia" w:ascii="宋体" w:hAnsi="宋体" w:eastAsia="宋体" w:cs="宋体"/>
          <w:lang w:val="en-US" w:eastAsia="zh-CN"/>
        </w:rPr>
        <w:t>二、服务设施植物规划</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旅游服务设施是游客停留时间最长，人流最集中的区域，因此要做好以下几点：一是绿化景观要与周围的森林景观相衔接，力争融为一体，切忌独自成景，而显突兀；二是绿化景观要注意对旅游服务设施的搭配，让绿化景观能够柔化刚直的建筑线条，起到衬托服务设施的建筑景观的作用；三是绿化景观要利用现有的森林植被，特别是规格较大的树种，尽可能减少对原有植被的破坏；四是绿化景观要考虑服务设施的风格，或明快靓丽</w:t>
      </w:r>
      <w:r>
        <w:rPr>
          <w:rFonts w:hint="eastAsia" w:eastAsia="宋体" w:cs="Times New Roman"/>
          <w:color w:val="auto"/>
          <w:sz w:val="28"/>
          <w:szCs w:val="28"/>
          <w:lang w:eastAsia="zh-CN"/>
        </w:rPr>
        <w:t>或</w:t>
      </w:r>
      <w:r>
        <w:rPr>
          <w:rFonts w:hint="eastAsia" w:eastAsia="宋体" w:cs="Times New Roman"/>
          <w:color w:val="auto"/>
          <w:sz w:val="28"/>
          <w:szCs w:val="28"/>
        </w:rPr>
        <w:t>沉静稳重，不同风格采用不同形式的森林景观。路边的植被，保留自然野趣。道路两侧林木较为杂乱的区域要进行清理，始终保持道路优美的景色。</w:t>
      </w:r>
    </w:p>
    <w:p>
      <w:pPr>
        <w:pStyle w:val="4"/>
        <w:rPr>
          <w:rFonts w:hint="eastAsia" w:ascii="宋体" w:hAnsi="宋体" w:eastAsia="宋体" w:cs="宋体"/>
          <w:lang w:val="en-US" w:eastAsia="zh-CN"/>
        </w:rPr>
      </w:pPr>
      <w:r>
        <w:rPr>
          <w:rFonts w:hint="eastAsia" w:ascii="宋体" w:hAnsi="宋体" w:eastAsia="宋体" w:cs="宋体"/>
          <w:lang w:val="en-US" w:eastAsia="zh-CN"/>
        </w:rPr>
        <w:t>三、道路与停车场景观植物规划</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（一）道路</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宋体" w:cs="Times New Roman"/>
          <w:color w:val="auto"/>
          <w:sz w:val="28"/>
          <w:szCs w:val="28"/>
          <w:lang w:val="en-US" w:eastAsia="zh-CN"/>
        </w:rPr>
        <w:t>1.主干道</w:t>
      </w:r>
      <w:r>
        <w:rPr>
          <w:rFonts w:hint="eastAsia" w:eastAsia="宋体" w:cs="Times New Roman"/>
          <w:color w:val="auto"/>
          <w:sz w:val="28"/>
          <w:szCs w:val="28"/>
        </w:rPr>
        <w:t>：道路两侧根据现状情况栽种林带，树种和景观要注重</w:t>
      </w:r>
    </w:p>
    <w:p>
      <w:pPr>
        <w:widowControl/>
        <w:adjustRightInd/>
        <w:snapToGrid/>
        <w:spacing w:line="360" w:lineRule="auto"/>
        <w:ind w:left="0" w:leftChars="0" w:firstLine="0" w:firstLineChars="0"/>
        <w:jc w:val="both"/>
        <w:rPr>
          <w:rFonts w:hint="eastAsia" w:eastAsia="宋体" w:cs="Times New Roman"/>
          <w:color w:val="auto"/>
          <w:sz w:val="28"/>
          <w:szCs w:val="28"/>
        </w:rPr>
      </w:pPr>
      <w:r>
        <w:rPr>
          <w:rFonts w:hint="eastAsia" w:eastAsia="宋体" w:cs="Times New Roman"/>
          <w:color w:val="auto"/>
          <w:sz w:val="28"/>
          <w:szCs w:val="28"/>
        </w:rPr>
        <w:t>与周围森林树种的衔接，使得道路的森林景观与周围的森林景观融为一体，使得车行道完全掩映在周围的环境之中。</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2.</w:t>
      </w:r>
      <w:r>
        <w:rPr>
          <w:rFonts w:hint="eastAsia" w:eastAsia="宋体" w:cs="Times New Roman"/>
          <w:color w:val="auto"/>
          <w:sz w:val="28"/>
          <w:szCs w:val="28"/>
        </w:rPr>
        <w:t>游步道：原则上不进行较大的改造，建设游步道时应尽量减少对植被的破坏，应充分利用路边的植被，保留自然野趣。道路两侧林木较为杂乱的区域要进行清理，始终保持道路优美的景色。对有景可观赏的路段应开辟赏景窗口，沿路形成步移景异的赏景效果。原</w:t>
      </w:r>
      <w:r>
        <w:rPr>
          <w:rFonts w:hint="eastAsia" w:eastAsia="宋体" w:cs="Times New Roman"/>
          <w:color w:val="auto"/>
          <w:sz w:val="28"/>
          <w:szCs w:val="28"/>
          <w:lang w:val="en-US" w:eastAsia="zh-CN"/>
        </w:rPr>
        <w:t>有</w:t>
      </w:r>
      <w:r>
        <w:rPr>
          <w:rFonts w:hint="eastAsia" w:eastAsia="宋体" w:cs="Times New Roman"/>
          <w:color w:val="auto"/>
          <w:sz w:val="28"/>
          <w:szCs w:val="28"/>
        </w:rPr>
        <w:t>的游步道，应选择合适的区域进行改造提升，弱化规则的种植方式，自然补植相应树种，增加自然野趣。</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（二）停车场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停车场绿化主要是周围的绿化和遮荫树的种植，营建生态停车场。停车场周围的绿化既要考虑与森林景观的过渡和对停车场自身的遮蔽，又要考虑吸收汽车尾气强的树种，建议种植女贞、刺槐、鹅掌楸等树种，营造自然优美的森林景观。</w:t>
      </w:r>
    </w:p>
    <w:p>
      <w:pPr>
        <w:pStyle w:val="4"/>
        <w:rPr>
          <w:rFonts w:hint="eastAsia" w:ascii="宋体" w:hAnsi="宋体" w:eastAsia="宋体" w:cs="宋体"/>
          <w:lang w:val="en-US" w:eastAsia="zh-CN"/>
        </w:rPr>
      </w:pPr>
      <w:r>
        <w:rPr>
          <w:rFonts w:hint="eastAsia" w:ascii="宋体" w:hAnsi="宋体" w:eastAsia="宋体" w:cs="宋体"/>
          <w:lang w:val="en-US" w:eastAsia="zh-CN"/>
        </w:rPr>
        <w:t>四、梁庙沟景观植物规划</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梁庙沟水系的景观植物主要以水生植物或湿生植物为主，与背景森林景观相协调，丰富滨水植物带，加强滨水景观节点的湿地氛围。梁庙沟河岸植物可使用枫杨、垂柳、水杉等，林下植物可选择鸢尾、二月兰、酢浆草，同时在水边可种植芦苇、再力花、水生鸢尾等水生植物，形成独特的森林湿地景观。</w:t>
      </w:r>
    </w:p>
    <w:p>
      <w:pPr>
        <w:ind w:firstLine="560"/>
        <w:rPr>
          <w:rFonts w:hint="eastAsia"/>
          <w:lang w:val="en-US" w:eastAsia="zh-CN"/>
        </w:rPr>
      </w:pPr>
    </w:p>
    <w:p>
      <w:pPr>
        <w:ind w:firstLine="560"/>
        <w:rPr>
          <w:rFonts w:hint="eastAsia"/>
          <w:lang w:val="en-US" w:eastAsia="zh-CN"/>
        </w:rPr>
      </w:pPr>
    </w:p>
    <w:p>
      <w:pPr>
        <w:ind w:left="0" w:leftChars="0" w:firstLine="0" w:firstLineChars="0"/>
        <w:rPr>
          <w:rFonts w:hint="eastAsia"/>
          <w:lang w:val="en-US" w:eastAsia="zh-CN"/>
        </w:rPr>
      </w:pP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94" w:name="_Toc1788"/>
      <w:r>
        <w:rPr>
          <w:rFonts w:hint="eastAsia" w:cs="Times New Roman"/>
          <w:b w:val="0"/>
          <w:bCs w:val="0"/>
          <w:i w:val="0"/>
          <w:iCs/>
          <w:color w:val="auto"/>
          <w:kern w:val="44"/>
          <w:szCs w:val="44"/>
        </w:rPr>
        <w:t>第</w:t>
      </w:r>
      <w:r>
        <w:rPr>
          <w:rFonts w:hint="eastAsia" w:cs="Times New Roman"/>
          <w:b w:val="0"/>
          <w:bCs w:val="0"/>
          <w:i w:val="0"/>
          <w:iCs/>
          <w:color w:val="auto"/>
          <w:kern w:val="44"/>
          <w:szCs w:val="44"/>
          <w:lang w:val="en-US" w:eastAsia="zh-CN"/>
        </w:rPr>
        <w:t>九</w:t>
      </w:r>
      <w:r>
        <w:rPr>
          <w:rFonts w:hint="eastAsia" w:cs="Times New Roman"/>
          <w:b w:val="0"/>
          <w:bCs w:val="0"/>
          <w:i w:val="0"/>
          <w:iCs/>
          <w:color w:val="auto"/>
          <w:kern w:val="44"/>
          <w:szCs w:val="44"/>
        </w:rPr>
        <w:t>章 保护工程规划</w:t>
      </w:r>
      <w:bookmarkEnd w:id="94"/>
    </w:p>
    <w:p>
      <w:pPr>
        <w:pStyle w:val="3"/>
        <w:rPr>
          <w:rFonts w:hint="eastAsia"/>
          <w:lang w:val="en-US" w:eastAsia="zh-CN"/>
        </w:rPr>
      </w:pPr>
      <w:bookmarkStart w:id="95" w:name="_Toc28898"/>
      <w:r>
        <w:rPr>
          <w:rFonts w:hint="eastAsia"/>
          <w:lang w:val="en-US" w:eastAsia="zh-CN"/>
        </w:rPr>
        <w:t>第一节 保护目标</w:t>
      </w:r>
      <w:bookmarkEnd w:id="95"/>
    </w:p>
    <w:p>
      <w:pPr>
        <w:pStyle w:val="4"/>
        <w:rPr>
          <w:rFonts w:hint="eastAsia" w:ascii="宋体" w:hAnsi="宋体" w:eastAsia="宋体" w:cs="宋体"/>
          <w:lang w:val="en-US" w:eastAsia="zh-CN"/>
        </w:rPr>
      </w:pPr>
      <w:r>
        <w:rPr>
          <w:rFonts w:hint="eastAsia" w:ascii="宋体" w:hAnsi="宋体" w:eastAsia="宋体" w:cs="宋体"/>
          <w:lang w:val="en-US" w:eastAsia="zh-CN"/>
        </w:rPr>
        <w:t>一、定性目标</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首先，资源保护严格执行森林、文物、土地、城市、房地产、野生动物、环境保护等法律、法规。其次，通过森林公园的总体规划，使得公园内空气、水源、环境噪音等质量有明显提升。为游客提供一个优美、舒适、安全、健康的活动、休闲场所，打造出一片美轮美奂的城郊型森林公园。</w:t>
      </w:r>
    </w:p>
    <w:p>
      <w:pPr>
        <w:pStyle w:val="4"/>
        <w:rPr>
          <w:rFonts w:hint="eastAsia" w:ascii="宋体" w:hAnsi="宋体" w:eastAsia="宋体" w:cs="宋体"/>
          <w:lang w:val="en-US" w:eastAsia="zh-CN"/>
        </w:rPr>
      </w:pPr>
      <w:r>
        <w:rPr>
          <w:rFonts w:hint="eastAsia" w:ascii="宋体" w:hAnsi="宋体" w:eastAsia="宋体" w:cs="宋体"/>
          <w:lang w:val="en-US" w:eastAsia="zh-CN"/>
        </w:rPr>
        <w:t>二、定量目标</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highlight w:val="none"/>
          <w:lang w:val="en-US" w:eastAsia="zh-CN"/>
        </w:rPr>
        <w:t>空气总悬浮微粒（F、S、P）、</w:t>
      </w:r>
      <w:r>
        <w:rPr>
          <w:rFonts w:hint="eastAsia" w:eastAsia="宋体" w:cs="Times New Roman"/>
          <w:color w:val="auto"/>
          <w:sz w:val="28"/>
          <w:szCs w:val="28"/>
          <w:lang w:val="en-US" w:eastAsia="zh-CN"/>
        </w:rPr>
        <w:t>SO</w:t>
      </w:r>
      <w:r>
        <w:rPr>
          <w:rFonts w:hint="eastAsia" w:eastAsia="宋体" w:cs="Times New Roman"/>
          <w:color w:val="auto"/>
          <w:sz w:val="28"/>
          <w:szCs w:val="28"/>
          <w:vertAlign w:val="subscript"/>
          <w:lang w:val="en-US" w:eastAsia="zh-CN"/>
        </w:rPr>
        <w:t>2</w:t>
      </w:r>
      <w:r>
        <w:rPr>
          <w:rFonts w:hint="eastAsia" w:eastAsia="宋体" w:cs="Times New Roman"/>
          <w:color w:val="auto"/>
          <w:sz w:val="28"/>
          <w:szCs w:val="28"/>
          <w:lang w:val="en-US" w:eastAsia="zh-CN"/>
        </w:rPr>
        <w:t>、NO</w:t>
      </w:r>
      <w:r>
        <w:rPr>
          <w:rFonts w:hint="eastAsia" w:eastAsia="宋体" w:cs="Times New Roman"/>
          <w:color w:val="auto"/>
          <w:sz w:val="28"/>
          <w:szCs w:val="28"/>
          <w:vertAlign w:val="subscript"/>
          <w:lang w:val="en-US" w:eastAsia="zh-CN"/>
        </w:rPr>
        <w:t>X</w:t>
      </w:r>
      <w:r>
        <w:rPr>
          <w:rFonts w:hint="eastAsia" w:eastAsia="宋体" w:cs="Times New Roman"/>
          <w:color w:val="auto"/>
          <w:sz w:val="28"/>
          <w:szCs w:val="28"/>
          <w:lang w:val="en-US" w:eastAsia="zh-CN"/>
        </w:rPr>
        <w:t>等环境质量指标均达到GB 3095—1996中规定的一级标准；水质达到GB 3838—2002中规定的Ⅰ类标准，生活饮用水卫生质量执行GB 5749—2006的规定；风景区室外允许噪声应低于GB 3096—2008中规定的“特别住宅区”环境噪声标准值。</w:t>
      </w:r>
    </w:p>
    <w:p>
      <w:pPr>
        <w:pStyle w:val="3"/>
        <w:rPr>
          <w:rFonts w:hint="eastAsia"/>
          <w:lang w:val="en-US" w:eastAsia="zh-CN"/>
        </w:rPr>
      </w:pPr>
      <w:bookmarkStart w:id="96" w:name="_Toc9435"/>
      <w:r>
        <w:rPr>
          <w:rFonts w:hint="eastAsia"/>
          <w:lang w:val="en-US" w:eastAsia="zh-CN"/>
        </w:rPr>
        <w:t>第二节 保护原则</w:t>
      </w:r>
      <w:bookmarkEnd w:id="96"/>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为了确保西凤省级森林公园各种功能的持续正常运转，在资源与环境保护规划中，除严格执行国家有关法规、条例之外，同时应遵循下列原则：</w:t>
      </w:r>
    </w:p>
    <w:p>
      <w:pPr>
        <w:widowControl/>
        <w:adjustRightInd/>
        <w:snapToGrid/>
        <w:spacing w:line="360" w:lineRule="auto"/>
        <w:ind w:left="0" w:leftChars="0" w:firstLine="0" w:firstLineChars="0"/>
        <w:jc w:val="both"/>
        <w:rPr>
          <w:rFonts w:hint="eastAsia" w:eastAsia="宋体" w:cs="Times New Roman"/>
          <w:b/>
          <w:bCs/>
          <w:color w:val="auto"/>
          <w:sz w:val="30"/>
          <w:szCs w:val="30"/>
          <w:lang w:val="en-US" w:eastAsia="zh-CN"/>
        </w:rPr>
      </w:pPr>
    </w:p>
    <w:p>
      <w:pPr>
        <w:widowControl/>
        <w:adjustRightInd/>
        <w:snapToGrid/>
        <w:spacing w:line="360" w:lineRule="auto"/>
        <w:ind w:left="0" w:leftChars="0" w:firstLine="0" w:firstLineChars="0"/>
        <w:jc w:val="both"/>
        <w:rPr>
          <w:rFonts w:hint="eastAsia" w:eastAsia="宋体" w:cs="Times New Roman"/>
          <w:b/>
          <w:bCs/>
          <w:color w:val="auto"/>
          <w:sz w:val="30"/>
          <w:szCs w:val="30"/>
          <w:lang w:val="en-US" w:eastAsia="zh-CN"/>
        </w:rPr>
      </w:pPr>
    </w:p>
    <w:p>
      <w:pPr>
        <w:widowControl/>
        <w:adjustRightInd/>
        <w:snapToGrid/>
        <w:spacing w:line="360" w:lineRule="auto"/>
        <w:ind w:left="0" w:leftChars="0" w:firstLine="0" w:firstLineChars="0"/>
        <w:jc w:val="both"/>
        <w:rPr>
          <w:rFonts w:hint="eastAsia" w:eastAsia="宋体" w:cs="Times New Roman"/>
          <w:b/>
          <w:bCs/>
          <w:color w:val="auto"/>
          <w:sz w:val="30"/>
          <w:szCs w:val="30"/>
          <w:lang w:val="en-US" w:eastAsia="zh-CN"/>
        </w:rPr>
      </w:pPr>
      <w:r>
        <w:rPr>
          <w:rFonts w:hint="eastAsia" w:eastAsia="宋体" w:cs="Times New Roman"/>
          <w:b/>
          <w:bCs/>
          <w:color w:val="auto"/>
          <w:sz w:val="30"/>
          <w:szCs w:val="30"/>
          <w:lang w:val="en-US" w:eastAsia="zh-CN"/>
        </w:rPr>
        <w:t>一、全面调查，科学论证原则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坚持在对森林公园植被和森林景观资源全面调查的基础上，进行科学论证，作出定性与定量评价，科学合理进行保护规划。</w:t>
      </w:r>
    </w:p>
    <w:p>
      <w:pPr>
        <w:pStyle w:val="4"/>
        <w:rPr>
          <w:rFonts w:hint="eastAsia" w:ascii="宋体" w:hAnsi="宋体" w:eastAsia="宋体" w:cs="宋体"/>
          <w:lang w:val="en-US" w:eastAsia="zh-CN"/>
        </w:rPr>
      </w:pPr>
      <w:r>
        <w:rPr>
          <w:rFonts w:hint="eastAsia" w:ascii="宋体" w:hAnsi="宋体" w:eastAsia="宋体" w:cs="宋体"/>
          <w:lang w:val="en-US" w:eastAsia="zh-CN"/>
        </w:rPr>
        <w:t>二、保护优先，适度开发原则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的保护和开发并不是不可协调的矛盾体，应理解为开发就是对森林公园自然特质的恢复、完善和提升。对破坏的森林景观进行恢复建设是一种保护性的旅游开发，用恢复开发促进资源保护，形成一种资源保护与旅游开发的良性互动。</w:t>
      </w:r>
    </w:p>
    <w:p>
      <w:pPr>
        <w:pStyle w:val="4"/>
        <w:rPr>
          <w:rFonts w:hint="eastAsia" w:ascii="宋体" w:hAnsi="宋体" w:eastAsia="宋体" w:cs="宋体"/>
          <w:lang w:val="en-US" w:eastAsia="zh-CN"/>
        </w:rPr>
      </w:pPr>
      <w:r>
        <w:rPr>
          <w:rFonts w:hint="eastAsia" w:ascii="宋体" w:hAnsi="宋体" w:eastAsia="宋体" w:cs="宋体"/>
          <w:lang w:val="en-US" w:eastAsia="zh-CN"/>
        </w:rPr>
        <w:t>三、因地制宜，分类保护原则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旅游资源的开发应突出其森林和生态环境的特色，依据植被自然分布规律，因地制宜，将保护与产品开发、产业布局、基础设施建设等诸多方面要素结合在一起，进行统一规划，适度超前，共同实施，以求取得西凤森林公园最大的生态效益、经济效益和社会效益。</w:t>
      </w:r>
    </w:p>
    <w:p>
      <w:pPr>
        <w:pStyle w:val="4"/>
        <w:rPr>
          <w:rFonts w:hint="eastAsia" w:ascii="宋体" w:hAnsi="宋体" w:eastAsia="宋体" w:cs="宋体"/>
          <w:lang w:val="en-US" w:eastAsia="zh-CN"/>
        </w:rPr>
      </w:pPr>
      <w:r>
        <w:rPr>
          <w:rFonts w:hint="eastAsia" w:ascii="宋体" w:hAnsi="宋体" w:eastAsia="宋体" w:cs="宋体"/>
          <w:lang w:val="en-US" w:eastAsia="zh-CN"/>
        </w:rPr>
        <w:t>四、合理调度，规模控制原则</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森林公园内的各种自然资源、人文资源以及良好的生态环境资源是森林公园旅游开发的物质基础，对核心景观区的开发要严格限制，慎之又慎。对这些资源的开发要做到适度，且在生态环境和景观资源能承受的范围内进行，必须保证其再生功能和恢复能力，达到永续利用，可持续发展的目的。</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pStyle w:val="3"/>
        <w:rPr>
          <w:rFonts w:hint="eastAsia"/>
          <w:lang w:val="en-US" w:eastAsia="zh-CN"/>
        </w:rPr>
      </w:pPr>
      <w:bookmarkStart w:id="97" w:name="_Toc30240"/>
      <w:r>
        <w:rPr>
          <w:rFonts w:hint="eastAsia"/>
          <w:lang w:val="en-US" w:eastAsia="zh-CN"/>
        </w:rPr>
        <w:t>第三节 保护等级及类型区划分</w:t>
      </w:r>
      <w:bookmarkEnd w:id="97"/>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鉴于森林公园内景观资源价值高，故森林公园内的一切景物和自然环境，必须严格保护，不得损坏，破坏或随意改变。森林公园旅游区内游人有效视野范围内的林木，不得进行生产性的经营采伐，尤其应杜绝皆伐，采取的经营措施要符合景观要求。严禁在公园范围内毁林开垦、采砂、采土、修墓等破坏森林景观的行为。为此将森林公园划分为三个保护等级。为使保护重点突出，针对性强，对一级保护区采取特殊保护，对二级保护区重点保护，对三级保护区采取常规保护。</w:t>
      </w:r>
    </w:p>
    <w:p>
      <w:pPr>
        <w:pStyle w:val="4"/>
        <w:rPr>
          <w:rFonts w:hint="default" w:ascii="宋体" w:hAnsi="宋体" w:eastAsia="宋体" w:cs="宋体"/>
          <w:lang w:val="en-US" w:eastAsia="zh-CN"/>
        </w:rPr>
      </w:pPr>
      <w:r>
        <w:rPr>
          <w:rFonts w:hint="eastAsia" w:ascii="宋体" w:hAnsi="宋体" w:eastAsia="宋体" w:cs="宋体"/>
          <w:lang w:val="en-US" w:eastAsia="zh-CN"/>
        </w:rPr>
        <w:t>一、一级保护区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一级保护区为特殊保护区。保护范围包括生态保育区，总面积5.48公顷，生态保育区主要以生态保护修复功能为主，是森林公园内保护森林生态系统的核心区域，主要开展保护、监测等必需的保护管理活动，不得进行与森林生态系统保护和管理无关的其他活动，故需特殊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保护对象是森林植被、地形、地貌、自然景观、人文景观、野生动物资源等。主要保护措施：禁止乱砍滥伐、乱捕滥猎、乱挖滥采、乱搭滥建、乱刻滥画以及与森林生态系统保护和管理无关的其他活动等，切实保护好森林公园内的一切自然和人文景观。</w:t>
      </w:r>
    </w:p>
    <w:p>
      <w:pPr>
        <w:pStyle w:val="4"/>
        <w:rPr>
          <w:rFonts w:hint="eastAsia" w:ascii="宋体" w:hAnsi="宋体" w:eastAsia="宋体" w:cs="宋体"/>
          <w:lang w:val="en-US" w:eastAsia="zh-CN"/>
        </w:rPr>
      </w:pPr>
      <w:r>
        <w:rPr>
          <w:rFonts w:hint="eastAsia" w:ascii="宋体" w:hAnsi="宋体" w:eastAsia="宋体" w:cs="宋体"/>
          <w:lang w:val="en-US" w:eastAsia="zh-CN"/>
        </w:rPr>
        <w:t>二、二级保护区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二级保护区为重点保护区。保护范围包括生产经营区、森林旅游区，总面积为172.45公顷。本区保护对象是森林植被、自然景观和人文景观资源，主要保护措施：加强护林防火，禁止毁林开荒、不得修建坟墓，保护水体环境卫生，避免游人对水体造成污染。</w:t>
      </w:r>
    </w:p>
    <w:p>
      <w:pPr>
        <w:pStyle w:val="4"/>
        <w:rPr>
          <w:rFonts w:hint="eastAsia" w:ascii="宋体" w:hAnsi="宋体" w:eastAsia="宋体" w:cs="宋体"/>
          <w:lang w:val="en-US" w:eastAsia="zh-CN"/>
        </w:rPr>
      </w:pPr>
      <w:r>
        <w:rPr>
          <w:rFonts w:hint="eastAsia" w:ascii="宋体" w:hAnsi="宋体" w:eastAsia="宋体" w:cs="宋体"/>
          <w:lang w:val="en-US" w:eastAsia="zh-CN"/>
        </w:rPr>
        <w:t>三、三级保护区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三级保护区为常规保护区。保护范围为管理服务区，总面积0.60公顷，本区为西凤省级森林公园的建设区。保护对象是森林植被及其它景观。主要保护措施：禁止乱砍滥伐、乱捕滥画，切实保护好地貌和生态环境。</w:t>
      </w:r>
    </w:p>
    <w:p>
      <w:pPr>
        <w:pStyle w:val="3"/>
        <w:rPr>
          <w:rFonts w:hint="eastAsia"/>
          <w:lang w:val="en-US" w:eastAsia="zh-CN"/>
        </w:rPr>
      </w:pPr>
      <w:bookmarkStart w:id="98" w:name="_Toc13363"/>
      <w:r>
        <w:rPr>
          <w:rFonts w:hint="eastAsia"/>
          <w:lang w:val="en-US" w:eastAsia="zh-CN"/>
        </w:rPr>
        <w:t>第四节 保护措施</w:t>
      </w:r>
      <w:bookmarkEnd w:id="98"/>
    </w:p>
    <w:p>
      <w:pPr>
        <w:pStyle w:val="4"/>
        <w:rPr>
          <w:rFonts w:hint="eastAsia" w:ascii="宋体" w:hAnsi="宋体" w:eastAsia="宋体" w:cs="宋体"/>
          <w:lang w:val="en-US" w:eastAsia="zh-CN"/>
        </w:rPr>
      </w:pPr>
      <w:r>
        <w:rPr>
          <w:rFonts w:hint="eastAsia" w:ascii="宋体" w:hAnsi="宋体" w:eastAsia="宋体" w:cs="宋体"/>
          <w:lang w:val="en-US" w:eastAsia="zh-CN"/>
        </w:rPr>
        <w:t>一、生物资源保护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公园内植被类型为温带落叶阔叶林。树种以柳树、白蜡、榆树、悬铃木、女贞、华山松为主。公园内主要植被为濮阳市国家储备林基地二期项目时期人工种植的乔木林，树种众多，且多样性、适应性强。</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境内现有植被类型主要有以华山松、白皮松为主的针叶林植被；以核桃、杜仲等为主的落叶阔叶林植被；以女贞为主的常绿阔叶林植被。灌木、地被等主要植物有金桂、紫叶李、石楠、美人梅、西府海棠、紫薇、腊梅、迎春、黄杨、紫云英、麦冬、鸢尾、大花萱草等。公园内及周边地区野生动物主要有兽类、鸟类、爬行类、鱼类、两栖类。丰富的动植物资源有利于开展物种资源的保护、驯化，为开发利用提供了良好的基础。</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（一）物种的保护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1.加大本底资源调查力度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本底资源调查是只有在对本底资源有充分了解的基础上，依据其受胁迫程度来划分各分类等级的胁迫等级，并结合局域种群理论，抽取出亟待保护的类群，加大保护力度。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2.严格执行相关保护法律法规</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主管部门应加强管理，严禁滥捕盗猎，滥砍滥伐，对于种群数量过多或有重要用途的野生动植物，必须经过上级主管部门的批准，严格按照批准数量捕猎或砍伐。对于捕杀或盗伐重点保护的野生动植物的行为，应严格按照野生动植物保护法的相关规定严格惩处。</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3.加强生物多样性监测</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加强生物多样性的调查、监测，适当开展野生动物保护保育的科研项目，建立园内野生动植物，特别是珍稀濒危动植物种类的种群数据库及其动态变化，指导相关保护措施的实施。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4.增加野生动物救护措施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对于受伤的野生动物类群，应进行及时的人工救护、健康恢复等措施，以维持和壮大野生动物的种群。必要时应规划针对野生动物生存状况、栖息地状况的监视、监测设施。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5.对珍稀植物专门保护 </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对森林公园内具有典型性的原生植物群落、数量不多或逐渐减少的珍稀植物，根据各自特点，分类分级制定保护措施，划定区域，专门保护。同时，对公园内的保护植物应设置保护标示牌。</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（二）生境的保护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1.控制旅游开发强度</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旅游开发能使森林公园的经济价值得到充分体现，然而如果开发活动不合理，盲目地追求经济利益，会给森林公园的生态环境造成极大的破坏。因此，应加强森林公园的建设和管理，控制旅游开发强度，使森林公园真正成为野生动物的避难所。首先，应明确森林公园的界线，合理规划森林旅游区和生态保育区，特别是生态保育区内要禁止一切理由的开发，森林旅游区也不得随意开发；其次要健全旅游开发的管理机构，加强对旅游开发的监督和管理，针对旅游开发项目，管理部门应制定科学的环境管理目标和生境监测计划，提出控制其负面影响的措施；最后，应加强对游客的管理和科学引导。</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2.加强森林防火</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森林公园管理中心应配备必要的森林防火设施，组建专业扑火队，建立森林防火站点，加强森林防火监测，建设应急、预警系统，有效避免因火灾带来的生境破坏。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3.防治病虫害</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贯彻“预防为主，综合防治”及“生物防治为主，化学防治为辅”的方针。建立预测预报站、检疫检验室等设施，可结合森林公园的管理服务区进行建设。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4.加强宣传教育</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充分利用媒体，大力宣传保护野生动植物对生态环境的重要意义。加强森林公园内和周边社区群众的宣传教育，通过举办夏令营、科普讲座等活动，在中小学生中开展宣传活动。要充分利用“爱鸟周”、“世界环境保护日”、“保护野生动物宣传月”和“国际森林日” 等时机，扩大社会影响，使保护野生动植物真正成为周边社区群众的自觉行为；使得保护野生动植物生境的观念深入人心，提高人们的生态保护意识。只有每个人从自我做起，才能从根本上防止滥用土地、破坏森林、破坏生境的行为。</w:t>
      </w:r>
    </w:p>
    <w:p>
      <w:pPr>
        <w:pStyle w:val="4"/>
        <w:rPr>
          <w:rFonts w:hint="eastAsia" w:ascii="宋体" w:hAnsi="宋体" w:eastAsia="宋体" w:cs="宋体"/>
          <w:lang w:val="en-US" w:eastAsia="zh-CN"/>
        </w:rPr>
      </w:pPr>
      <w:r>
        <w:rPr>
          <w:rFonts w:hint="eastAsia" w:ascii="宋体" w:hAnsi="宋体" w:eastAsia="宋体" w:cs="宋体"/>
          <w:lang w:val="en-US" w:eastAsia="zh-CN"/>
        </w:rPr>
        <w:t>二、风景资源保护</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重点森林风景资源是森林公园风景游览的精华部分，具有较高的美学、生态、科研、历史价值，必须采取严格的保护措施。西凤森林公园内得天独厚的土壤和气候条件，孕育了丰富的植被景观，其中由大面积的暖性针叶林以及少量的落叶阔叶林等植被类型组成了森林公园内的森林植被景观。同时，西凤省级森林公园内的野生动物景观也同样绚丽多姿，目前公园内的动物资源多样性较高，是野生动物资源的基因库。此外，森林公园内的地文、水文和人文景观也同样绚丽多姿，水文景观中典型的有</w:t>
      </w:r>
      <w:r>
        <w:rPr>
          <w:rFonts w:hint="eastAsia" w:eastAsia="宋体" w:cs="Times New Roman"/>
          <w:color w:val="auto"/>
          <w:sz w:val="28"/>
          <w:szCs w:val="28"/>
          <w:lang w:val="en-US" w:eastAsia="zh-CN"/>
        </w:rPr>
        <w:t>梁庙沟</w:t>
      </w:r>
      <w:r>
        <w:rPr>
          <w:rFonts w:hint="eastAsia" w:eastAsia="宋体" w:cs="Times New Roman"/>
          <w:color w:val="auto"/>
          <w:sz w:val="28"/>
          <w:szCs w:val="28"/>
        </w:rPr>
        <w:t>水系等，此外还可以依托公园北部金堤河之景，感受北方独特的水文景观。人文景观中独特的运河文化，孕育着整个森林公园，使其浑厚有力。大面积的林海也造就了公园内部凉爽宜人的自然小气候，产生独特的天象景观，因此，西凤森林公园重点森林风景资源主要有以温带针叶林、落叶阔叶林为代表的森林植被景观，以</w:t>
      </w:r>
      <w:r>
        <w:rPr>
          <w:rFonts w:hint="eastAsia" w:eastAsia="宋体" w:cs="Times New Roman"/>
          <w:color w:val="auto"/>
          <w:sz w:val="28"/>
          <w:szCs w:val="28"/>
          <w:lang w:val="en-US" w:eastAsia="zh-CN"/>
        </w:rPr>
        <w:t>梁庙沟</w:t>
      </w:r>
      <w:r>
        <w:rPr>
          <w:rFonts w:hint="eastAsia" w:eastAsia="宋体" w:cs="Times New Roman"/>
          <w:color w:val="auto"/>
          <w:sz w:val="28"/>
          <w:szCs w:val="28"/>
        </w:rPr>
        <w:t>为代表的水文景观，以运河文化为代表的人文景观。</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（一）针叶林与阔叶林森林生态系统保护</w:t>
      </w:r>
    </w:p>
    <w:p>
      <w:pPr>
        <w:tabs>
          <w:tab w:val="left" w:pos="1603"/>
        </w:tabs>
        <w:bidi w:val="0"/>
        <w:jc w:val="left"/>
        <w:rPr>
          <w:rFonts w:hint="eastAsia" w:eastAsia="宋体" w:cs="Times New Roman"/>
          <w:color w:val="auto"/>
          <w:sz w:val="28"/>
          <w:szCs w:val="28"/>
        </w:rPr>
      </w:pPr>
      <w:r>
        <w:rPr>
          <w:rFonts w:hint="eastAsia" w:eastAsia="宋体" w:cs="Times New Roman"/>
          <w:color w:val="auto"/>
          <w:sz w:val="28"/>
          <w:szCs w:val="28"/>
          <w:lang w:val="en-US" w:eastAsia="zh-CN"/>
        </w:rPr>
        <w:t>1.</w:t>
      </w:r>
      <w:r>
        <w:rPr>
          <w:rFonts w:hint="eastAsia" w:eastAsia="宋体" w:cs="Times New Roman"/>
          <w:color w:val="auto"/>
          <w:sz w:val="28"/>
          <w:szCs w:val="28"/>
        </w:rPr>
        <w:t>对森林公园内常见的针叶林带与阔叶林带，在做好日常管护的基础上，加大对这些区域检查和巡护力度，严控烟火。区域内严禁砍伐，并积极进行抚育管理，加强病虫害防治，控制人为因素对该片区域内森林生态系统完整性的干扰，提高其水源涵养、水土保持、生物多样性等生态功能。</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2.</w:t>
      </w:r>
      <w:r>
        <w:rPr>
          <w:rFonts w:hint="eastAsia" w:eastAsia="宋体" w:cs="Times New Roman"/>
          <w:color w:val="auto"/>
          <w:sz w:val="28"/>
          <w:szCs w:val="28"/>
        </w:rPr>
        <w:t>加大病虫害监测的科技含量，通过布设病虫害监控探头和遥感影像等数据，做到早发现早处理，减少因病虫害带来生态系统破坏。</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（二）梁庙沟水系保护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1.在梁庙沟上、下游周边农村开展集镇和分散式农村生物污染治理，通过建设污水处理厂、农村污水生态治理工程、人工湿地污水处理工程等措施，最大程度减少集镇生活污染对梁庙沟的影响。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进行水上旅游项目污染控制，包括限制旅游活动区域、线路与规模，禁止旅游船只污水排入湿地，避免水上旅游活动的无序发展，大大降低了旅游活动带来的污染，还营造了宁静、自然的湿地环境，提高了旅游品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3.对河道进行底泥疏浚，清除长期积累在深水区的有机质和营养盐，降低氮、磷的内源负荷，控制浮游植物的生长。</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（三）运河史事文化保护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台前独特的“治河文化”，疏浚运河工程的成功，彰显着丰富的治河经验，更为蜿蜒的京杭大运河的通畅提供了保障，孕育出一个古老而悠久的繁盛时代。在这片肥沃的土地上，还蕴含着革命老区、革命根据地的红色文化，将军渡黄河游览区现已成为学习历史、缅怀先烈的爱国主义教育和革命传统教育基地。</w:t>
      </w:r>
    </w:p>
    <w:p>
      <w:pPr>
        <w:tabs>
          <w:tab w:val="left" w:pos="1353"/>
        </w:tabs>
        <w:bidi w:val="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在规划创建的过程中，可以加入地方特色文化遗产的元素，借助一些文物古迹的建设，加强媒体宣传，能够加强人民群众尤其是年轻一代对史事文化的正确认识，增强对历史文化遗产的保护，自发、自觉地参与到对史事文化的保护中来。</w:t>
      </w:r>
    </w:p>
    <w:p>
      <w:pPr>
        <w:pStyle w:val="4"/>
        <w:rPr>
          <w:rFonts w:hint="eastAsia" w:ascii="宋体" w:hAnsi="宋体" w:eastAsia="宋体" w:cs="宋体"/>
          <w:lang w:val="en-US" w:eastAsia="zh-CN"/>
        </w:rPr>
      </w:pPr>
      <w:r>
        <w:rPr>
          <w:rFonts w:hint="eastAsia" w:ascii="宋体" w:hAnsi="宋体" w:eastAsia="宋体" w:cs="宋体"/>
          <w:lang w:val="en-US" w:eastAsia="zh-CN"/>
        </w:rPr>
        <w:t>三、生态环境保护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环境保护是综合分析地区生态环境现状，通过采取严格的监管和积极的保护措施，防止和减少人类活动对环境产生生态破坏。建设项目中防治污染的设施，必须与主体工程同时设计、同时施工、同时投产使用。环境保护措施主要包括以下几个方面：</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（一）大气保护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1.减少交通污染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交通工具中，汽车尾气污染最为严重，汽车还是产生光化学烟雾的重要污染源。部分景区禁止游客自驾车辆进入森林公园，公园内特殊地区仅允许工作用车、安全警卫用车、消防用车等特殊车辆使用。景点间交通使用电瓶车、人力车等少污染、无污染的交通工具，减少大气污染物的排放。同时，采取措施防止建筑材料运输、堆放过程中产生扬尘。</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2.使用清洁能源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提倡绿色环保。旅游经营单位积极利用新能源新材料，广泛运用节能节水减排技术。</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3.控制厨房油烟排放</w:t>
      </w:r>
    </w:p>
    <w:p>
      <w:pPr>
        <w:tabs>
          <w:tab w:val="left" w:pos="1215"/>
        </w:tabs>
        <w:bidi w:val="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公园周边有大量的乡镇居民，鼓励居民在厨房安装除尘、脱烟装置，油烟经净化器过滤后，脱烟排放。禁止油烟废气直接进入大气，保持空气洁净清新。</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（二）防治噪声</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1.交通噪声控制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进入森林公园的车辆禁鸣高音喇叭。</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2.人为活动场噪声控制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保持幽静的居住环境，禁止任意燃放烟花爆竹。附近餐馆、娱乐场所不允许使用高音喇叭。厨房、表演场所等房屋，在室内的墙面或顶棚上饰以吸声材料或者空间悬挂吸声板、吸声体。游步道上人群适当分散，以免游客群集嘈杂。导游讲解时不用高音喇叭。</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3.施工噪声控制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项目工程建设中，避免爆破法施工。选用低噪声施工机械设备。对高噪声源采取消音、隔声、减振等措施。</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（三）水体保护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1.推行清洁生产，减少排污量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控制旅游活动。森林公园内生态旅游活动以科普教育、文化检验、休闲度假为主，严格控制食宿接待规模，减少生活排污量。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洗菜、洗脸、洗澡等生活污水与厕所污水分流。生活污水收集后重复利用，冲刷厕所，不仅减少排污量，而且减少用水量。</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2.建设污水处理设施，防止生活污染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公园周边住宿接待、餐饮设施是主要的污染源，环保设施建设严格按照“三同时”制度执行。设置污水处理池进行净化。</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3.水体富营养化防治</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磷是水体营养化的重要因素，不使用含磷洗涤制。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4.杜绝工业污染</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工业污水含有大量汞、铬等金属离子，以及碱、硫化物、盐类等无机物，污染性很强。森林公园内以及外围严禁建设工厂。</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5.施工水土流失控制</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旅游开发极易破坏植被，易造成水土流失。公路、停车场、房屋等必要的建筑工程建设施工时，有计划地分段施工，减少裸土面积，防止工程建设流失的水土随地表径流进入附近水体，在雨季施工期尤其要值得注意。严禁任意弃土、乱挖乱倒，弃土临时堆置时，下方修筑挡墙。裸露面及时绿化，可采用框格植草、植藤、植灌等绿化措施。</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6.清理水体垃圾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禁止向水域倾倒垃圾、粪便及其它废弃物，及时清理溪流、水体中的枯枝落叶、垃圾、杂物，防止腐烂污染水质。</w:t>
      </w:r>
    </w:p>
    <w:p>
      <w:pPr>
        <w:pStyle w:val="4"/>
        <w:rPr>
          <w:rFonts w:hint="eastAsia" w:ascii="宋体" w:hAnsi="宋体" w:eastAsia="宋体" w:cs="宋体"/>
          <w:lang w:val="en-US" w:eastAsia="zh-CN"/>
        </w:rPr>
      </w:pPr>
      <w:r>
        <w:rPr>
          <w:rFonts w:hint="eastAsia" w:ascii="宋体" w:hAnsi="宋体" w:eastAsia="宋体" w:cs="宋体"/>
          <w:lang w:val="en-US" w:eastAsia="zh-CN"/>
        </w:rPr>
        <w:t>四、安全、卫生保护</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建立严格、科学、持久有效的管理制度和卫生保洁制度，达到无污物、无蚊蝇、无异味的要求。严禁焚烧垃圾、树叶、枯草污染空气。</w:t>
      </w:r>
    </w:p>
    <w:p>
      <w:pPr>
        <w:widowControl/>
        <w:adjustRightInd/>
        <w:snapToGrid/>
        <w:spacing w:line="360" w:lineRule="auto"/>
        <w:ind w:left="0" w:leftChars="0" w:firstLine="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向游客发放垃圾袋，垃圾及时清理、清运，定期清扫厕所，保持清洁卫生。同时做好环境卫生检查监督工作。</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目前公园已建设5处管理用房（集管理、灌溉、厕所、防火、防灾监测等功能的综合管理用房），规划增加多功能管理用房5处，共计10处。</w:t>
      </w:r>
    </w:p>
    <w:p>
      <w:pPr>
        <w:pStyle w:val="4"/>
        <w:rPr>
          <w:rFonts w:hint="eastAsia" w:ascii="宋体" w:hAnsi="宋体" w:eastAsia="宋体" w:cs="宋体"/>
          <w:lang w:val="en-US" w:eastAsia="zh-CN"/>
        </w:rPr>
      </w:pPr>
      <w:r>
        <w:rPr>
          <w:rFonts w:hint="eastAsia" w:ascii="宋体" w:hAnsi="宋体" w:eastAsia="宋体" w:cs="宋体"/>
          <w:lang w:val="en-US" w:eastAsia="zh-CN"/>
        </w:rPr>
        <w:t>五、人文旅游资源保护</w:t>
      </w:r>
      <w:r>
        <w:rPr>
          <w:rFonts w:hint="eastAsia" w:ascii="宋体" w:hAnsi="宋体" w:eastAsia="宋体" w:cs="宋体"/>
          <w:lang w:val="en-US" w:eastAsia="zh-CN"/>
        </w:rPr>
        <w:tab/>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深入挖掘各种健康、有益的民俗风情，提炼和升华民族习俗。民俗文化是带露珠、沾泥土，最接地气、最贴近老百姓衣食住行的文化。后方乡具有“相框之乡，翰林故里”称号，可依托森林公园举办民俗文化艺术节，传承和发展中华优秀传统文化。作为城郊型森林公园，游客大多来自台前及其周边城市，举办文化节等活动，可以准备群众喜闻乐见、形式多样、蕴含台前地方特色的文化，还可安排循环生态农业体验、特色民俗小镇游览、地方传统美食品尝，让人们感受台前的发展魅力，感受脱贫致富标兵、移风易俗标兵的精神道德力量，给广大城市居民提供一场民俗文化的盛宴。 </w:t>
      </w:r>
    </w:p>
    <w:p>
      <w:pPr>
        <w:tabs>
          <w:tab w:val="center" w:pos="4433"/>
        </w:tabs>
        <w:ind w:firstLine="560"/>
        <w:rPr>
          <w:rFonts w:hint="eastAsia"/>
          <w:color w:val="000000" w:themeColor="text1"/>
          <w14:textFill>
            <w14:solidFill>
              <w14:schemeClr w14:val="tx1"/>
            </w14:solidFill>
          </w14:textFill>
        </w:rPr>
      </w:pPr>
    </w:p>
    <w:p>
      <w:pPr>
        <w:tabs>
          <w:tab w:val="center" w:pos="4433"/>
        </w:tabs>
        <w:ind w:firstLine="560"/>
        <w:rPr>
          <w:rFonts w:hint="eastAsia"/>
          <w:color w:val="000000" w:themeColor="text1"/>
          <w14:textFill>
            <w14:solidFill>
              <w14:schemeClr w14:val="tx1"/>
            </w14:solidFill>
          </w14:textFill>
        </w:rPr>
      </w:pPr>
    </w:p>
    <w:p>
      <w:pPr>
        <w:tabs>
          <w:tab w:val="center" w:pos="4433"/>
        </w:tabs>
        <w:ind w:firstLine="560"/>
        <w:rPr>
          <w:rFonts w:hint="eastAsia"/>
          <w:color w:val="000000" w:themeColor="text1"/>
          <w14:textFill>
            <w14:solidFill>
              <w14:schemeClr w14:val="tx1"/>
            </w14:solidFill>
          </w14:textFill>
        </w:rPr>
      </w:pPr>
    </w:p>
    <w:p>
      <w:pPr>
        <w:tabs>
          <w:tab w:val="center" w:pos="4433"/>
        </w:tabs>
        <w:ind w:left="0" w:leftChars="0" w:firstLine="0" w:firstLineChars="0"/>
        <w:rPr>
          <w:rFonts w:hint="eastAsia"/>
          <w:color w:val="000000" w:themeColor="text1"/>
          <w14:textFill>
            <w14:solidFill>
              <w14:schemeClr w14:val="tx1"/>
            </w14:solidFill>
          </w14:textFill>
        </w:rPr>
      </w:pP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99" w:name="_Toc14343"/>
      <w:r>
        <w:rPr>
          <w:rFonts w:hint="eastAsia" w:cs="Times New Roman"/>
          <w:b w:val="0"/>
          <w:bCs w:val="0"/>
          <w:i w:val="0"/>
          <w:iCs/>
          <w:color w:val="auto"/>
          <w:kern w:val="44"/>
          <w:szCs w:val="44"/>
        </w:rPr>
        <w:t>第</w:t>
      </w:r>
      <w:r>
        <w:rPr>
          <w:rFonts w:hint="eastAsia" w:cs="Times New Roman"/>
          <w:b w:val="0"/>
          <w:bCs w:val="0"/>
          <w:i w:val="0"/>
          <w:iCs/>
          <w:color w:val="auto"/>
          <w:kern w:val="44"/>
          <w:szCs w:val="44"/>
          <w:lang w:val="en-US" w:eastAsia="zh-CN"/>
        </w:rPr>
        <w:t>十</w:t>
      </w:r>
      <w:r>
        <w:rPr>
          <w:rFonts w:hint="eastAsia" w:cs="Times New Roman"/>
          <w:b w:val="0"/>
          <w:bCs w:val="0"/>
          <w:i w:val="0"/>
          <w:iCs/>
          <w:color w:val="auto"/>
          <w:kern w:val="44"/>
          <w:szCs w:val="44"/>
        </w:rPr>
        <w:t>章 旅游营销策划</w:t>
      </w:r>
      <w:bookmarkEnd w:id="99"/>
    </w:p>
    <w:p>
      <w:pPr>
        <w:pStyle w:val="3"/>
        <w:rPr>
          <w:rFonts w:hint="eastAsia"/>
          <w:lang w:val="en-US" w:eastAsia="zh-CN"/>
        </w:rPr>
      </w:pPr>
      <w:bookmarkStart w:id="100" w:name="_Toc14165"/>
      <w:r>
        <w:rPr>
          <w:rFonts w:hint="eastAsia"/>
          <w:lang w:val="en-US" w:eastAsia="zh-CN"/>
        </w:rPr>
        <w:t>第一节 策划理念</w:t>
      </w:r>
      <w:bookmarkEnd w:id="100"/>
    </w:p>
    <w:p>
      <w:pPr>
        <w:pStyle w:val="4"/>
        <w:rPr>
          <w:rFonts w:hint="eastAsia" w:ascii="宋体" w:hAnsi="宋体" w:eastAsia="宋体" w:cs="宋体"/>
          <w:lang w:val="en-US" w:eastAsia="zh-CN"/>
        </w:rPr>
      </w:pPr>
      <w:r>
        <w:rPr>
          <w:rFonts w:hint="eastAsia" w:ascii="宋体" w:hAnsi="宋体" w:eastAsia="宋体" w:cs="宋体"/>
          <w:lang w:val="en-US" w:eastAsia="zh-CN"/>
        </w:rPr>
        <w:t>一、生态性</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生态是开发森林生态旅游的前提条件，如果生态被破坏，生态旅游的品质将会大打折扣，也将失去核心的竞争力和吸引力。因此，将森林生态环境的保护贯穿于游憩项目中，让爱护森林环境成为一种与森林沟通的方式，在这种全新的沟通方式中，建立起人与自然之间的相互爱护的关系。</w:t>
      </w:r>
    </w:p>
    <w:p>
      <w:pPr>
        <w:pStyle w:val="4"/>
        <w:rPr>
          <w:rFonts w:hint="eastAsia" w:ascii="宋体" w:hAnsi="宋体" w:eastAsia="宋体" w:cs="宋体"/>
          <w:lang w:val="en-US" w:eastAsia="zh-CN"/>
        </w:rPr>
      </w:pPr>
      <w:r>
        <w:rPr>
          <w:rFonts w:hint="eastAsia" w:ascii="宋体" w:hAnsi="宋体" w:eastAsia="宋体" w:cs="宋体"/>
          <w:lang w:val="en-US" w:eastAsia="zh-CN"/>
        </w:rPr>
        <w:t>二、文化性</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文化是旅游业发展的核心灵魂。西凤省级森林公园旅游产品的开发应始终贯穿文化性、民俗性的原则，在森林公园浓郁的历史文脉背景下进行深度挖掘，使森林公园内的建筑、饮食、民俗风情、文化艺术、纪念商品等都突显出台前文化、台前民俗文化风情的特征。</w:t>
      </w:r>
    </w:p>
    <w:p>
      <w:pPr>
        <w:pStyle w:val="4"/>
        <w:rPr>
          <w:rFonts w:hint="eastAsia" w:ascii="宋体" w:hAnsi="宋体" w:eastAsia="宋体" w:cs="宋体"/>
          <w:lang w:val="en-US" w:eastAsia="zh-CN"/>
        </w:rPr>
      </w:pPr>
      <w:r>
        <w:rPr>
          <w:rFonts w:hint="eastAsia" w:ascii="宋体" w:hAnsi="宋体" w:eastAsia="宋体" w:cs="宋体"/>
          <w:lang w:val="en-US" w:eastAsia="zh-CN"/>
        </w:rPr>
        <w:t>三、自然性</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森林游憩项目的消费群体是游客，故游憩项目的选择和设置方式应以游客的意愿为出发点。大部分选择森林生态旅游的游客都是出于想远离城市的喧嚣，徜徉秀美的</w:t>
      </w:r>
      <w:r>
        <w:rPr>
          <w:rFonts w:hint="eastAsia" w:eastAsia="宋体" w:cs="Times New Roman"/>
          <w:color w:val="auto"/>
          <w:sz w:val="28"/>
          <w:szCs w:val="28"/>
          <w:lang w:val="en-US" w:eastAsia="zh-CN"/>
        </w:rPr>
        <w:t>森林</w:t>
      </w:r>
      <w:r>
        <w:rPr>
          <w:rFonts w:hint="eastAsia" w:eastAsia="宋体" w:cs="Times New Roman"/>
          <w:color w:val="auto"/>
          <w:sz w:val="28"/>
          <w:szCs w:val="28"/>
        </w:rPr>
        <w:t>，享受与平时不一样的一份闲适，因此，在森林公园内旅游服务设施的策划方面，应注重以人为本的原</w:t>
      </w:r>
    </w:p>
    <w:p>
      <w:pPr>
        <w:widowControl/>
        <w:adjustRightInd/>
        <w:snapToGrid/>
        <w:spacing w:line="360" w:lineRule="auto"/>
        <w:ind w:left="0" w:leftChars="0" w:firstLine="0" w:firstLineChars="0"/>
        <w:jc w:val="both"/>
        <w:rPr>
          <w:rFonts w:hint="eastAsia" w:eastAsia="宋体" w:cs="Times New Roman"/>
          <w:color w:val="auto"/>
          <w:sz w:val="28"/>
          <w:szCs w:val="28"/>
        </w:rPr>
      </w:pPr>
      <w:r>
        <w:rPr>
          <w:rFonts w:hint="eastAsia" w:eastAsia="宋体" w:cs="Times New Roman"/>
          <w:color w:val="auto"/>
          <w:sz w:val="28"/>
          <w:szCs w:val="28"/>
        </w:rPr>
        <w:t>则，推陈出新，结合森林环境，打造生态自然的风格，带给游客原始</w:t>
      </w:r>
    </w:p>
    <w:p>
      <w:pPr>
        <w:widowControl/>
        <w:adjustRightInd/>
        <w:snapToGrid/>
        <w:spacing w:line="360" w:lineRule="auto"/>
        <w:ind w:left="0" w:leftChars="0" w:firstLine="0" w:firstLineChars="0"/>
        <w:jc w:val="both"/>
        <w:rPr>
          <w:rFonts w:eastAsia="宋体" w:cs="Times New Roman"/>
          <w:color w:val="auto"/>
          <w:sz w:val="28"/>
          <w:szCs w:val="28"/>
        </w:rPr>
      </w:pPr>
      <w:r>
        <w:rPr>
          <w:rFonts w:hint="eastAsia" w:eastAsia="宋体" w:cs="Times New Roman"/>
          <w:color w:val="auto"/>
          <w:sz w:val="28"/>
          <w:szCs w:val="28"/>
        </w:rPr>
        <w:t>本真的生态享受。</w:t>
      </w:r>
    </w:p>
    <w:p>
      <w:pPr>
        <w:pStyle w:val="4"/>
        <w:rPr>
          <w:rFonts w:hint="eastAsia" w:ascii="宋体" w:hAnsi="宋体" w:eastAsia="宋体" w:cs="宋体"/>
          <w:lang w:val="en-US" w:eastAsia="zh-CN"/>
        </w:rPr>
      </w:pPr>
      <w:r>
        <w:rPr>
          <w:rFonts w:hint="eastAsia" w:ascii="宋体" w:hAnsi="宋体" w:eastAsia="宋体" w:cs="宋体"/>
          <w:lang w:val="en-US" w:eastAsia="zh-CN"/>
        </w:rPr>
        <w:t>四、互动性</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以森林公园为依托发展起来的森林旅游业，已经成为人们工作之余的新的休闲方式。森林具有的净化空气、屏蔽噪音和调节气温、释放负氧离子和杀菌消毒等功能，使森林旅游在休闲度假旅游中拥有独特优势。依托森林自然特色而开展的科普、探险、养生等森林旅游活动具有较强的参与性，顺应了旅游发展的潮流。</w:t>
      </w:r>
    </w:p>
    <w:p>
      <w:pPr>
        <w:pStyle w:val="3"/>
        <w:rPr>
          <w:rFonts w:hint="eastAsia"/>
          <w:lang w:val="en-US" w:eastAsia="zh-CN"/>
        </w:rPr>
      </w:pPr>
      <w:bookmarkStart w:id="101" w:name="_Toc2620"/>
      <w:r>
        <w:rPr>
          <w:rFonts w:hint="eastAsia"/>
          <w:lang w:val="en-US" w:eastAsia="zh-CN"/>
        </w:rPr>
        <w:t>第二节 游憩项目规划</w:t>
      </w:r>
      <w:bookmarkEnd w:id="101"/>
    </w:p>
    <w:p>
      <w:pPr>
        <w:pStyle w:val="4"/>
        <w:rPr>
          <w:rFonts w:hint="eastAsia" w:ascii="宋体" w:hAnsi="宋体" w:eastAsia="宋体" w:cs="宋体"/>
          <w:lang w:val="en-US" w:eastAsia="zh-CN"/>
        </w:rPr>
      </w:pPr>
      <w:r>
        <w:rPr>
          <w:rFonts w:hint="eastAsia" w:ascii="宋体" w:hAnsi="宋体" w:eastAsia="宋体" w:cs="宋体"/>
          <w:lang w:val="en-US" w:eastAsia="zh-CN"/>
        </w:rPr>
        <w:t>一、生态观光旅游</w:t>
      </w:r>
      <w:r>
        <w:rPr>
          <w:rFonts w:hint="eastAsia" w:ascii="宋体" w:hAnsi="宋体" w:eastAsia="宋体" w:cs="宋体"/>
          <w:lang w:val="en-US" w:eastAsia="zh-CN"/>
        </w:rPr>
        <w:tab/>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省级森林公园是华北地区的一片绿地，拥有针叶林、落叶阔叶林等，构成水平分布较明显且镶嵌分布的森林景观。春夏秋冬景色各异：初春，鲜花盛开，草木蔓发，松绿竹黄，百鸟争鸣；盛夏，林木茂盛，灌木叠丛，绿荫沉凝，野藤缠绕，苔藓低伏；深秋，松竹沉黛，红叶满地，硕果缀枝，百草含芳；隆冬，风荡林海，林色凝重，似露峥嵘。景象万千的西凤省级森林公园，春花烂漫，夏荫浓郁，秋色绚丽，冬裹银妆。</w:t>
      </w:r>
    </w:p>
    <w:p>
      <w:pPr>
        <w:pStyle w:val="4"/>
        <w:rPr>
          <w:rFonts w:hint="eastAsia" w:ascii="宋体" w:hAnsi="宋体" w:eastAsia="宋体" w:cs="宋体"/>
          <w:lang w:val="en-US" w:eastAsia="zh-CN"/>
        </w:rPr>
      </w:pPr>
      <w:r>
        <w:rPr>
          <w:rFonts w:hint="eastAsia" w:ascii="宋体" w:hAnsi="宋体" w:eastAsia="宋体" w:cs="宋体"/>
          <w:lang w:val="en-US" w:eastAsia="zh-CN"/>
        </w:rPr>
        <w:t>二、休闲度假旅游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西凤省级森林公园植被茂盛，园内形成森林小气候，炎夏无暑。而且自然环境优良，空气洁净，负氧离子含量高，针叶林中芬多精含量相对较高，适宜开展以避暑、休闲为主题的旅游活动。因此，在此建设与自然景观相和谐的休闲度假服务设施，可以满足不同层次游客的休闲度假需求。</w:t>
      </w:r>
    </w:p>
    <w:p>
      <w:pPr>
        <w:pStyle w:val="4"/>
        <w:rPr>
          <w:rFonts w:hint="eastAsia" w:ascii="宋体" w:hAnsi="宋体" w:eastAsia="宋体" w:cs="宋体"/>
          <w:lang w:val="en-US" w:eastAsia="zh-CN"/>
        </w:rPr>
      </w:pPr>
      <w:r>
        <w:rPr>
          <w:rFonts w:hint="eastAsia" w:ascii="宋体" w:hAnsi="宋体" w:eastAsia="宋体" w:cs="宋体"/>
          <w:lang w:val="en-US" w:eastAsia="zh-CN"/>
        </w:rPr>
        <w:t>三、康体养生旅游</w:t>
      </w:r>
    </w:p>
    <w:p>
      <w:pPr>
        <w:widowControl/>
        <w:adjustRightInd/>
        <w:snapToGrid/>
        <w:spacing w:line="360" w:lineRule="auto"/>
        <w:ind w:firstLine="560" w:firstLineChars="0"/>
        <w:jc w:val="both"/>
        <w:rPr>
          <w:rFonts w:eastAsia="宋体" w:cs="Times New Roman"/>
          <w:color w:val="auto"/>
          <w:sz w:val="28"/>
          <w:szCs w:val="28"/>
        </w:rPr>
      </w:pPr>
      <w:r>
        <w:rPr>
          <w:rFonts w:hint="eastAsia" w:eastAsia="宋体" w:cs="Times New Roman"/>
          <w:color w:val="auto"/>
          <w:sz w:val="28"/>
          <w:szCs w:val="28"/>
        </w:rPr>
        <w:t>公园内林木葱郁、水系蜿蜒，远离城市喧嚣，留存自然的安宁与静谧，可以结合游客自身状况，安排有针对性的康体养生产品。加强服务设施的建设，提高服务的针对性，可针对某一种康体项目进行专业化提升，以此为切入点，提高康体旅游产品的档次，满足游客释放身心、缓解压力的需求。</w:t>
      </w:r>
    </w:p>
    <w:p>
      <w:pPr>
        <w:pStyle w:val="4"/>
        <w:rPr>
          <w:rFonts w:hint="eastAsia" w:ascii="宋体" w:hAnsi="宋体" w:eastAsia="宋体" w:cs="宋体"/>
          <w:lang w:val="en-US" w:eastAsia="zh-CN"/>
        </w:rPr>
      </w:pPr>
      <w:r>
        <w:rPr>
          <w:rFonts w:hint="eastAsia" w:ascii="宋体" w:hAnsi="宋体" w:eastAsia="宋体" w:cs="宋体"/>
          <w:lang w:val="en-US" w:eastAsia="zh-CN"/>
        </w:rPr>
        <w:t>四、科普教育旅游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森林公园是开展生态科普的重要场所。西凤省级森林公园优良的森林生态环境，为野生动物的栖息、繁衍提供了良好的条件，园内有国家和省级保护野生植物多种，科学价值较高。同时，旅游已从单纯的观光旅游逐渐转向专项旅游，利用西凤省级森林公园丰富的生态资源，结合生态旅游开展生态科普教育旅游活动，寓教于乐。</w:t>
      </w:r>
    </w:p>
    <w:p>
      <w:pPr>
        <w:pStyle w:val="4"/>
        <w:rPr>
          <w:rFonts w:hint="eastAsia" w:ascii="宋体" w:hAnsi="宋体" w:eastAsia="宋体" w:cs="宋体"/>
          <w:lang w:val="en-US" w:eastAsia="zh-CN"/>
        </w:rPr>
      </w:pPr>
      <w:r>
        <w:rPr>
          <w:rFonts w:hint="eastAsia" w:ascii="宋体" w:hAnsi="宋体" w:eastAsia="宋体" w:cs="宋体"/>
          <w:lang w:val="en-US" w:eastAsia="zh-CN"/>
        </w:rPr>
        <w:t>五、户外探险旅游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户外探险游是一种新颖、刺激、挑战性和专业性很强的体验式旅游项目，游客可在其中重新认识自己，定位自己，领悟人生的价值与真谛。项目开展于</w:t>
      </w:r>
      <w:r>
        <w:rPr>
          <w:rFonts w:hint="eastAsia" w:eastAsia="宋体" w:cs="Times New Roman"/>
          <w:color w:val="auto"/>
          <w:sz w:val="28"/>
          <w:szCs w:val="28"/>
          <w:lang w:val="en-US" w:eastAsia="zh-CN"/>
        </w:rPr>
        <w:t>梁庙沟</w:t>
      </w:r>
      <w:r>
        <w:rPr>
          <w:rFonts w:hint="eastAsia" w:eastAsia="宋体" w:cs="Times New Roman"/>
          <w:color w:val="auto"/>
          <w:sz w:val="28"/>
          <w:szCs w:val="28"/>
        </w:rPr>
        <w:t>水系周边，是一项需克服地形等各种障碍的探险运动，充满了各种变化和未知，极具挑战性。</w:t>
      </w:r>
      <w:r>
        <w:rPr>
          <w:rFonts w:hint="eastAsia" w:eastAsia="宋体" w:cs="Times New Roman"/>
          <w:color w:val="auto"/>
          <w:sz w:val="28"/>
          <w:szCs w:val="28"/>
          <w:lang w:val="en-US" w:eastAsia="zh-CN"/>
        </w:rPr>
        <w:t>森</w:t>
      </w:r>
      <w:r>
        <w:rPr>
          <w:rFonts w:hint="eastAsia" w:eastAsia="宋体" w:cs="Times New Roman"/>
          <w:color w:val="auto"/>
          <w:sz w:val="28"/>
          <w:szCs w:val="28"/>
        </w:rPr>
        <w:t>林湖水之美最引</w:t>
      </w:r>
    </w:p>
    <w:p>
      <w:pPr>
        <w:widowControl/>
        <w:adjustRightInd/>
        <w:snapToGrid/>
        <w:spacing w:line="360" w:lineRule="auto"/>
        <w:ind w:left="0" w:leftChars="0" w:firstLine="0" w:firstLineChars="0"/>
        <w:jc w:val="both"/>
        <w:rPr>
          <w:rFonts w:hint="eastAsia" w:eastAsia="宋体" w:cs="Times New Roman"/>
          <w:color w:val="auto"/>
          <w:sz w:val="28"/>
          <w:szCs w:val="28"/>
        </w:rPr>
      </w:pPr>
      <w:r>
        <w:rPr>
          <w:rFonts w:hint="eastAsia" w:eastAsia="宋体" w:cs="Times New Roman"/>
          <w:color w:val="auto"/>
          <w:sz w:val="28"/>
          <w:szCs w:val="28"/>
        </w:rPr>
        <w:t>人入胜的魅力莫过它的神秘气氛。探险旅游是所有旅游途径中最惊险</w:t>
      </w:r>
    </w:p>
    <w:p>
      <w:pPr>
        <w:widowControl/>
        <w:adjustRightInd/>
        <w:snapToGrid/>
        <w:spacing w:line="360" w:lineRule="auto"/>
        <w:ind w:left="0" w:leftChars="0" w:firstLine="0" w:firstLineChars="0"/>
        <w:jc w:val="both"/>
        <w:rPr>
          <w:rFonts w:hint="eastAsia" w:eastAsia="宋体" w:cs="Times New Roman"/>
          <w:color w:val="auto"/>
          <w:sz w:val="28"/>
          <w:szCs w:val="28"/>
        </w:rPr>
      </w:pPr>
      <w:r>
        <w:rPr>
          <w:rFonts w:hint="eastAsia" w:eastAsia="宋体" w:cs="Times New Roman"/>
          <w:color w:val="auto"/>
          <w:sz w:val="28"/>
          <w:szCs w:val="28"/>
        </w:rPr>
        <w:t>的，充满了开拓性与挑战性。</w:t>
      </w:r>
    </w:p>
    <w:p>
      <w:pPr>
        <w:pStyle w:val="4"/>
        <w:rPr>
          <w:rFonts w:hint="eastAsia" w:ascii="宋体" w:hAnsi="宋体" w:eastAsia="宋体" w:cs="宋体"/>
          <w:lang w:val="en-US" w:eastAsia="zh-CN"/>
        </w:rPr>
      </w:pPr>
      <w:r>
        <w:rPr>
          <w:rFonts w:hint="eastAsia" w:ascii="宋体" w:hAnsi="宋体" w:eastAsia="宋体" w:cs="宋体"/>
          <w:lang w:val="en-US" w:eastAsia="zh-CN"/>
        </w:rPr>
        <w:t>六、拓展运动旅游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以特定的地形环境和素质拓展设施为依托，开展系列素质拓展、林野求知探险等拓展训练活动。针对青少年或成年群体设置不同的活动内容，如青少年人格拓展训练，成人模拟实战训练，配以拓展和实战的相关装备，增强体验的真实性和深刻性，丰富实践内容，培养参与者的团队协作精神。</w:t>
      </w:r>
    </w:p>
    <w:p>
      <w:pPr>
        <w:pStyle w:val="4"/>
        <w:rPr>
          <w:rFonts w:hint="eastAsia" w:ascii="宋体" w:hAnsi="宋体" w:eastAsia="宋体" w:cs="宋体"/>
          <w:lang w:val="en-US" w:eastAsia="zh-CN"/>
        </w:rPr>
      </w:pPr>
      <w:r>
        <w:rPr>
          <w:rFonts w:hint="eastAsia" w:ascii="宋体" w:hAnsi="宋体" w:eastAsia="宋体" w:cs="宋体"/>
          <w:lang w:val="en-US" w:eastAsia="zh-CN"/>
        </w:rPr>
        <w:t>七、生态采摘体验旅游</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伴随着人类生产、生活方式的变化及乡村城市化和城乡一体化的深入</w:t>
      </w:r>
      <w:r>
        <w:rPr>
          <w:rFonts w:hint="eastAsia" w:eastAsia="宋体" w:cs="Times New Roman"/>
          <w:color w:val="auto"/>
          <w:sz w:val="28"/>
          <w:szCs w:val="28"/>
          <w:lang w:eastAsia="zh-CN"/>
        </w:rPr>
        <w:t>，</w:t>
      </w:r>
      <w:r>
        <w:rPr>
          <w:rFonts w:hint="eastAsia" w:eastAsia="宋体" w:cs="Times New Roman"/>
          <w:color w:val="auto"/>
          <w:sz w:val="28"/>
          <w:szCs w:val="28"/>
        </w:rPr>
        <w:t>生态回归</w:t>
      </w:r>
      <w:r>
        <w:rPr>
          <w:rFonts w:hint="eastAsia" w:eastAsia="宋体" w:cs="Times New Roman"/>
          <w:color w:val="auto"/>
          <w:sz w:val="28"/>
          <w:szCs w:val="28"/>
          <w:lang w:val="en-US" w:eastAsia="zh-CN"/>
        </w:rPr>
        <w:t>体验</w:t>
      </w:r>
      <w:r>
        <w:rPr>
          <w:rFonts w:hint="eastAsia" w:eastAsia="宋体" w:cs="Times New Roman"/>
          <w:color w:val="auto"/>
          <w:sz w:val="28"/>
          <w:szCs w:val="28"/>
        </w:rPr>
        <w:t>已成为市民的追求与渴望。利用</w:t>
      </w:r>
      <w:r>
        <w:rPr>
          <w:rFonts w:hint="eastAsia" w:eastAsia="宋体" w:cs="Times New Roman"/>
          <w:color w:val="auto"/>
          <w:sz w:val="28"/>
          <w:szCs w:val="28"/>
          <w:lang w:val="en-US" w:eastAsia="zh-CN"/>
        </w:rPr>
        <w:t>森林</w:t>
      </w:r>
      <w:r>
        <w:rPr>
          <w:rFonts w:hint="eastAsia" w:eastAsia="宋体" w:cs="Times New Roman"/>
          <w:color w:val="auto"/>
          <w:sz w:val="28"/>
          <w:szCs w:val="28"/>
        </w:rPr>
        <w:t>景观、</w:t>
      </w:r>
      <w:r>
        <w:rPr>
          <w:rFonts w:hint="eastAsia" w:eastAsia="宋体" w:cs="Times New Roman"/>
          <w:color w:val="auto"/>
          <w:sz w:val="28"/>
          <w:szCs w:val="28"/>
          <w:lang w:val="en-US" w:eastAsia="zh-CN"/>
        </w:rPr>
        <w:t>果林</w:t>
      </w:r>
      <w:r>
        <w:rPr>
          <w:rFonts w:hint="eastAsia" w:eastAsia="宋体" w:cs="Times New Roman"/>
          <w:color w:val="auto"/>
          <w:sz w:val="28"/>
          <w:szCs w:val="28"/>
        </w:rPr>
        <w:t>生产活动和生态农业经营模式</w:t>
      </w:r>
      <w:r>
        <w:rPr>
          <w:rFonts w:hint="eastAsia" w:eastAsia="宋体" w:cs="Times New Roman"/>
          <w:color w:val="auto"/>
          <w:sz w:val="28"/>
          <w:szCs w:val="28"/>
          <w:lang w:eastAsia="zh-CN"/>
        </w:rPr>
        <w:t>，</w:t>
      </w:r>
      <w:r>
        <w:rPr>
          <w:rFonts w:hint="eastAsia" w:eastAsia="宋体" w:cs="Times New Roman"/>
          <w:color w:val="auto"/>
          <w:sz w:val="28"/>
          <w:szCs w:val="28"/>
        </w:rPr>
        <w:t>吸引游客前来观赏、</w:t>
      </w:r>
      <w:r>
        <w:rPr>
          <w:rFonts w:hint="eastAsia" w:eastAsia="宋体" w:cs="Times New Roman"/>
          <w:color w:val="auto"/>
          <w:sz w:val="28"/>
          <w:szCs w:val="28"/>
          <w:lang w:val="en-US" w:eastAsia="zh-CN"/>
        </w:rPr>
        <w:t>采摘、</w:t>
      </w:r>
      <w:r>
        <w:rPr>
          <w:rFonts w:hint="eastAsia" w:eastAsia="宋体" w:cs="Times New Roman"/>
          <w:color w:val="auto"/>
          <w:sz w:val="28"/>
          <w:szCs w:val="28"/>
        </w:rPr>
        <w:t>品尝</w:t>
      </w:r>
      <w:r>
        <w:rPr>
          <w:rFonts w:hint="eastAsia" w:eastAsia="宋体" w:cs="Times New Roman"/>
          <w:color w:val="auto"/>
          <w:sz w:val="28"/>
          <w:szCs w:val="28"/>
          <w:lang w:eastAsia="zh-CN"/>
        </w:rPr>
        <w:t>，</w:t>
      </w:r>
      <w:r>
        <w:rPr>
          <w:rFonts w:hint="eastAsia" w:eastAsia="宋体" w:cs="Times New Roman"/>
          <w:color w:val="auto"/>
          <w:sz w:val="28"/>
          <w:szCs w:val="28"/>
        </w:rPr>
        <w:t>突破固定的客源渠道</w:t>
      </w:r>
      <w:r>
        <w:rPr>
          <w:rFonts w:hint="eastAsia" w:eastAsia="宋体" w:cs="Times New Roman"/>
          <w:color w:val="auto"/>
          <w:sz w:val="28"/>
          <w:szCs w:val="28"/>
          <w:lang w:eastAsia="zh-CN"/>
        </w:rPr>
        <w:t>，</w:t>
      </w:r>
      <w:r>
        <w:rPr>
          <w:rFonts w:hint="eastAsia" w:eastAsia="宋体" w:cs="Times New Roman"/>
          <w:color w:val="auto"/>
          <w:sz w:val="28"/>
          <w:szCs w:val="28"/>
        </w:rPr>
        <w:t>以贴近自然的特色旅游项目吸引周边城市游客在周末及节假日作短期停留</w:t>
      </w:r>
      <w:r>
        <w:rPr>
          <w:rFonts w:hint="eastAsia" w:eastAsia="宋体" w:cs="Times New Roman"/>
          <w:color w:val="auto"/>
          <w:sz w:val="28"/>
          <w:szCs w:val="28"/>
          <w:lang w:eastAsia="zh-CN"/>
        </w:rPr>
        <w:t>，</w:t>
      </w:r>
      <w:r>
        <w:rPr>
          <w:rFonts w:hint="eastAsia" w:eastAsia="宋体" w:cs="Times New Roman"/>
          <w:color w:val="auto"/>
          <w:sz w:val="28"/>
          <w:szCs w:val="28"/>
        </w:rPr>
        <w:t>以最大限度利用资源</w:t>
      </w:r>
      <w:r>
        <w:rPr>
          <w:rFonts w:hint="eastAsia" w:eastAsia="宋体" w:cs="Times New Roman"/>
          <w:color w:val="auto"/>
          <w:sz w:val="28"/>
          <w:szCs w:val="28"/>
          <w:lang w:eastAsia="zh-CN"/>
        </w:rPr>
        <w:t>，</w:t>
      </w:r>
      <w:r>
        <w:rPr>
          <w:rFonts w:hint="eastAsia" w:eastAsia="宋体" w:cs="Times New Roman"/>
          <w:color w:val="auto"/>
          <w:sz w:val="28"/>
          <w:szCs w:val="28"/>
        </w:rPr>
        <w:t>增加旅游收益。</w:t>
      </w:r>
    </w:p>
    <w:p>
      <w:pPr>
        <w:pStyle w:val="3"/>
        <w:rPr>
          <w:rFonts w:hint="eastAsia"/>
          <w:lang w:val="en-US" w:eastAsia="zh-CN"/>
        </w:rPr>
      </w:pPr>
      <w:bookmarkStart w:id="102" w:name="_Toc2950"/>
      <w:r>
        <w:rPr>
          <w:rFonts w:hint="eastAsia"/>
          <w:lang w:val="en-US" w:eastAsia="zh-CN"/>
        </w:rPr>
        <w:t>第三节 市场策划</w:t>
      </w:r>
      <w:bookmarkEnd w:id="102"/>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rPr>
        <w:t>根据游客身份、旅游心理、旅游方式、旅游动机、组织形式、客源地等</w:t>
      </w:r>
      <w:r>
        <w:rPr>
          <w:rFonts w:hint="eastAsia" w:eastAsia="宋体" w:cs="Times New Roman"/>
          <w:color w:val="auto"/>
          <w:sz w:val="28"/>
          <w:szCs w:val="28"/>
          <w:lang w:val="en-US" w:eastAsia="zh-CN"/>
        </w:rPr>
        <w:t>将市场细分为周边市场、国内市场、入境市场，按照森林公园的实力和市场机会将周边市场作为目标市场，主要包括以台前县及周边县区为主的濮阳市，以及周边河南安阳、鹤壁，河北邯郸，山东聊城、菏泽等城市。</w:t>
      </w:r>
    </w:p>
    <w:p>
      <w:pPr>
        <w:widowControl/>
        <w:adjustRightInd/>
        <w:snapToGrid/>
        <w:spacing w:line="360" w:lineRule="auto"/>
        <w:ind w:left="0" w:leftChars="0" w:firstLine="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 xml:space="preserve">    综合分析目标市场的消费水平、人口特征、收入水平等影响价格</w:t>
      </w:r>
    </w:p>
    <w:p>
      <w:pPr>
        <w:widowControl/>
        <w:adjustRightInd/>
        <w:snapToGrid/>
        <w:spacing w:line="360" w:lineRule="auto"/>
        <w:ind w:left="0" w:leftChars="0" w:firstLine="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的各种因素，制定适宜的旅游价格，并根据市场状况及时做出调整。</w:t>
      </w:r>
    </w:p>
    <w:p>
      <w:pPr>
        <w:tabs>
          <w:tab w:val="left" w:pos="1215"/>
        </w:tabs>
        <w:bidi w:val="0"/>
        <w:jc w:val="left"/>
        <w:rPr>
          <w:rFonts w:hint="eastAsia" w:ascii="Times New Roman" w:hAnsi="Times New Roman" w:eastAsia="仿宋" w:cstheme="minorBidi"/>
          <w:kern w:val="2"/>
          <w:sz w:val="28"/>
          <w:szCs w:val="24"/>
          <w:lang w:val="en-US" w:eastAsia="zh-CN" w:bidi="ar-SA"/>
        </w:rPr>
      </w:pPr>
      <w:r>
        <w:rPr>
          <w:rFonts w:hint="eastAsia" w:cstheme="minorBidi"/>
          <w:kern w:val="2"/>
          <w:sz w:val="28"/>
          <w:szCs w:val="24"/>
          <w:lang w:val="en-US" w:eastAsia="zh-CN" w:bidi="ar-SA"/>
        </w:rPr>
        <w:tab/>
      </w:r>
    </w:p>
    <w:p>
      <w:pPr>
        <w:pStyle w:val="3"/>
        <w:rPr>
          <w:rFonts w:hint="eastAsia"/>
          <w:lang w:val="en-US" w:eastAsia="zh-CN"/>
        </w:rPr>
      </w:pPr>
      <w:bookmarkStart w:id="103" w:name="_Toc5209"/>
      <w:r>
        <w:rPr>
          <w:rFonts w:hint="eastAsia"/>
          <w:lang w:val="en-US" w:eastAsia="zh-CN"/>
        </w:rPr>
        <w:t>第四节 营销措施</w:t>
      </w:r>
      <w:bookmarkEnd w:id="103"/>
    </w:p>
    <w:p>
      <w:pPr>
        <w:pStyle w:val="4"/>
        <w:rPr>
          <w:rFonts w:hint="default" w:ascii="宋体" w:hAnsi="宋体" w:eastAsia="宋体" w:cs="宋体"/>
          <w:lang w:val="en-US" w:eastAsia="zh-CN"/>
        </w:rPr>
      </w:pPr>
      <w:r>
        <w:rPr>
          <w:rFonts w:hint="eastAsia" w:ascii="宋体" w:hAnsi="宋体" w:eastAsia="宋体" w:cs="宋体"/>
          <w:lang w:val="en-US" w:eastAsia="zh-CN"/>
        </w:rPr>
        <w:t>一、打造品牌形象</w:t>
      </w:r>
    </w:p>
    <w:p>
      <w:pPr>
        <w:widowControl/>
        <w:adjustRightInd/>
        <w:snapToGrid/>
        <w:spacing w:line="360" w:lineRule="auto"/>
        <w:ind w:firstLine="560" w:firstLineChars="0"/>
        <w:jc w:val="both"/>
        <w:rPr>
          <w:rFonts w:hint="eastAsia" w:eastAsia="宋体" w:cs="Times New Roman"/>
          <w:color w:val="auto"/>
          <w:sz w:val="28"/>
          <w:szCs w:val="28"/>
          <w:lang w:eastAsia="zh-CN"/>
        </w:rPr>
      </w:pPr>
      <w:r>
        <w:rPr>
          <w:rFonts w:hint="eastAsia" w:eastAsia="宋体" w:cs="Times New Roman"/>
          <w:color w:val="auto"/>
          <w:sz w:val="28"/>
          <w:szCs w:val="28"/>
        </w:rPr>
        <w:t>以</w:t>
      </w:r>
      <w:r>
        <w:rPr>
          <w:rFonts w:hint="eastAsia" w:eastAsia="宋体" w:cs="Times New Roman"/>
          <w:color w:val="auto"/>
          <w:sz w:val="28"/>
          <w:szCs w:val="28"/>
          <w:lang w:eastAsia="zh-CN"/>
        </w:rPr>
        <w:t>“</w:t>
      </w:r>
      <w:r>
        <w:rPr>
          <w:rFonts w:hint="eastAsia" w:eastAsia="宋体" w:cs="Times New Roman"/>
          <w:color w:val="auto"/>
          <w:sz w:val="28"/>
          <w:szCs w:val="28"/>
        </w:rPr>
        <w:t>休闲度假、康体养生、科普宣教、文体体验</w:t>
      </w:r>
      <w:r>
        <w:rPr>
          <w:rFonts w:hint="eastAsia" w:eastAsia="宋体" w:cs="Times New Roman"/>
          <w:color w:val="auto"/>
          <w:sz w:val="28"/>
          <w:szCs w:val="28"/>
          <w:lang w:eastAsia="zh-CN"/>
        </w:rPr>
        <w:t>”</w:t>
      </w:r>
      <w:r>
        <w:rPr>
          <w:rFonts w:hint="eastAsia" w:eastAsia="宋体" w:cs="Times New Roman"/>
          <w:color w:val="auto"/>
          <w:sz w:val="28"/>
          <w:szCs w:val="28"/>
        </w:rPr>
        <w:t>为品牌核心</w:t>
      </w:r>
      <w:r>
        <w:rPr>
          <w:rFonts w:hint="eastAsia" w:eastAsia="宋体" w:cs="Times New Roman"/>
          <w:color w:val="auto"/>
          <w:sz w:val="28"/>
          <w:szCs w:val="28"/>
          <w:lang w:eastAsia="zh-CN"/>
        </w:rPr>
        <w:t>，</w:t>
      </w:r>
      <w:r>
        <w:rPr>
          <w:rFonts w:hint="eastAsia" w:eastAsia="宋体" w:cs="Times New Roman"/>
          <w:color w:val="auto"/>
          <w:sz w:val="28"/>
          <w:szCs w:val="28"/>
          <w:lang w:val="en-US" w:eastAsia="zh-CN"/>
        </w:rPr>
        <w:t>突出公园主题，</w:t>
      </w:r>
      <w:r>
        <w:rPr>
          <w:rFonts w:hint="eastAsia" w:eastAsia="宋体" w:cs="Times New Roman"/>
          <w:color w:val="auto"/>
          <w:sz w:val="28"/>
          <w:szCs w:val="28"/>
        </w:rPr>
        <w:t>加强品牌宣传</w:t>
      </w:r>
      <w:r>
        <w:rPr>
          <w:rFonts w:hint="eastAsia" w:eastAsia="宋体" w:cs="Times New Roman"/>
          <w:color w:val="auto"/>
          <w:sz w:val="28"/>
          <w:szCs w:val="28"/>
          <w:lang w:eastAsia="zh-CN"/>
        </w:rPr>
        <w:t>，</w:t>
      </w:r>
      <w:r>
        <w:rPr>
          <w:rFonts w:hint="eastAsia" w:eastAsia="宋体" w:cs="Times New Roman"/>
          <w:color w:val="auto"/>
          <w:sz w:val="28"/>
          <w:szCs w:val="28"/>
        </w:rPr>
        <w:t>提升品牌价值</w:t>
      </w:r>
      <w:r>
        <w:rPr>
          <w:rFonts w:hint="eastAsia" w:eastAsia="宋体" w:cs="Times New Roman"/>
          <w:color w:val="auto"/>
          <w:sz w:val="28"/>
          <w:szCs w:val="28"/>
          <w:lang w:eastAsia="zh-CN"/>
        </w:rPr>
        <w:t>，</w:t>
      </w:r>
      <w:r>
        <w:rPr>
          <w:rFonts w:hint="eastAsia" w:eastAsia="宋体" w:cs="Times New Roman"/>
          <w:color w:val="auto"/>
          <w:sz w:val="28"/>
          <w:szCs w:val="28"/>
        </w:rPr>
        <w:t>通过推出“天然林森林公园”、“清静避暑度假</w:t>
      </w:r>
      <w:r>
        <w:rPr>
          <w:rFonts w:hint="eastAsia" w:eastAsia="宋体" w:cs="Times New Roman"/>
          <w:color w:val="auto"/>
          <w:sz w:val="28"/>
          <w:szCs w:val="28"/>
          <w:lang w:val="en-US" w:eastAsia="zh-CN"/>
        </w:rPr>
        <w:t>基</w:t>
      </w:r>
      <w:r>
        <w:rPr>
          <w:rFonts w:hint="eastAsia" w:eastAsia="宋体" w:cs="Times New Roman"/>
          <w:color w:val="auto"/>
          <w:sz w:val="28"/>
          <w:szCs w:val="28"/>
        </w:rPr>
        <w:t>地”、“生态文化</w:t>
      </w:r>
      <w:r>
        <w:rPr>
          <w:rFonts w:hint="eastAsia" w:eastAsia="宋体" w:cs="Times New Roman"/>
          <w:color w:val="auto"/>
          <w:sz w:val="28"/>
          <w:szCs w:val="28"/>
          <w:lang w:val="en-US" w:eastAsia="zh-CN"/>
        </w:rPr>
        <w:t>体验基</w:t>
      </w:r>
      <w:r>
        <w:rPr>
          <w:rFonts w:hint="eastAsia" w:eastAsia="宋体" w:cs="Times New Roman"/>
          <w:color w:val="auto"/>
          <w:sz w:val="28"/>
          <w:szCs w:val="28"/>
        </w:rPr>
        <w:t>地”、“康养度假</w:t>
      </w:r>
      <w:r>
        <w:rPr>
          <w:rFonts w:hint="eastAsia" w:eastAsia="宋体" w:cs="Times New Roman"/>
          <w:color w:val="auto"/>
          <w:sz w:val="28"/>
          <w:szCs w:val="28"/>
          <w:lang w:val="en-US" w:eastAsia="zh-CN"/>
        </w:rPr>
        <w:t>圣</w:t>
      </w:r>
      <w:r>
        <w:rPr>
          <w:rFonts w:hint="eastAsia" w:eastAsia="宋体" w:cs="Times New Roman"/>
          <w:color w:val="auto"/>
          <w:sz w:val="28"/>
          <w:szCs w:val="28"/>
        </w:rPr>
        <w:t>地”、“</w:t>
      </w:r>
      <w:r>
        <w:rPr>
          <w:rFonts w:hint="eastAsia" w:eastAsia="宋体" w:cs="Times New Roman"/>
          <w:color w:val="auto"/>
          <w:sz w:val="28"/>
          <w:szCs w:val="28"/>
          <w:lang w:val="en-US" w:eastAsia="zh-CN"/>
        </w:rPr>
        <w:t>独具特色的森林</w:t>
      </w:r>
      <w:r>
        <w:rPr>
          <w:rFonts w:hint="eastAsia" w:eastAsia="宋体" w:cs="Times New Roman"/>
          <w:color w:val="auto"/>
          <w:sz w:val="28"/>
          <w:szCs w:val="28"/>
        </w:rPr>
        <w:t>风情</w:t>
      </w:r>
      <w:r>
        <w:rPr>
          <w:rFonts w:hint="eastAsia" w:eastAsia="宋体" w:cs="Times New Roman"/>
          <w:color w:val="auto"/>
          <w:sz w:val="28"/>
          <w:szCs w:val="28"/>
          <w:lang w:val="en-US" w:eastAsia="zh-CN"/>
        </w:rPr>
        <w:t>区</w:t>
      </w:r>
      <w:r>
        <w:rPr>
          <w:rFonts w:hint="eastAsia" w:eastAsia="宋体" w:cs="Times New Roman"/>
          <w:color w:val="auto"/>
          <w:sz w:val="28"/>
          <w:szCs w:val="28"/>
        </w:rPr>
        <w:t>”的旅游形象</w:t>
      </w:r>
      <w:r>
        <w:rPr>
          <w:rFonts w:hint="eastAsia" w:eastAsia="宋体" w:cs="Times New Roman"/>
          <w:color w:val="auto"/>
          <w:sz w:val="28"/>
          <w:szCs w:val="28"/>
          <w:lang w:eastAsia="zh-CN"/>
        </w:rPr>
        <w:t>，</w:t>
      </w:r>
      <w:r>
        <w:rPr>
          <w:rFonts w:hint="eastAsia" w:eastAsia="宋体" w:cs="Times New Roman"/>
          <w:color w:val="auto"/>
          <w:sz w:val="28"/>
          <w:szCs w:val="28"/>
        </w:rPr>
        <w:t>突出建设科普、休闲、康养、旅游与避暑度假地</w:t>
      </w:r>
      <w:r>
        <w:rPr>
          <w:rFonts w:hint="eastAsia" w:eastAsia="宋体" w:cs="Times New Roman"/>
          <w:color w:val="auto"/>
          <w:sz w:val="28"/>
          <w:szCs w:val="28"/>
          <w:lang w:eastAsia="zh-CN"/>
        </w:rPr>
        <w:t>，</w:t>
      </w:r>
      <w:r>
        <w:rPr>
          <w:rFonts w:hint="eastAsia" w:eastAsia="宋体" w:cs="Times New Roman"/>
          <w:color w:val="auto"/>
          <w:sz w:val="28"/>
          <w:szCs w:val="28"/>
        </w:rPr>
        <w:t>将</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森林公园打造成</w:t>
      </w:r>
      <w:r>
        <w:rPr>
          <w:rFonts w:hint="eastAsia" w:eastAsia="宋体" w:cs="Times New Roman"/>
          <w:color w:val="auto"/>
          <w:sz w:val="28"/>
          <w:szCs w:val="28"/>
          <w:lang w:val="en-US" w:eastAsia="zh-CN"/>
        </w:rPr>
        <w:t>濮阳市甚至河南省</w:t>
      </w:r>
      <w:r>
        <w:rPr>
          <w:rFonts w:hint="eastAsia" w:eastAsia="宋体" w:cs="Times New Roman"/>
          <w:color w:val="auto"/>
          <w:sz w:val="28"/>
          <w:szCs w:val="28"/>
        </w:rPr>
        <w:t>的著名生态旅游品牌</w:t>
      </w:r>
      <w:r>
        <w:rPr>
          <w:rFonts w:hint="eastAsia" w:eastAsia="宋体" w:cs="Times New Roman"/>
          <w:color w:val="auto"/>
          <w:sz w:val="28"/>
          <w:szCs w:val="28"/>
          <w:lang w:eastAsia="zh-CN"/>
        </w:rPr>
        <w:t>。</w:t>
      </w:r>
    </w:p>
    <w:p>
      <w:pPr>
        <w:pStyle w:val="4"/>
        <w:rPr>
          <w:rFonts w:hint="default" w:ascii="宋体" w:hAnsi="宋体" w:eastAsia="宋体" w:cs="宋体"/>
          <w:lang w:val="en-US" w:eastAsia="zh-CN"/>
        </w:rPr>
      </w:pPr>
      <w:r>
        <w:rPr>
          <w:rFonts w:hint="eastAsia" w:ascii="宋体" w:hAnsi="宋体" w:eastAsia="宋体" w:cs="宋体"/>
          <w:lang w:val="en-US" w:eastAsia="zh-CN"/>
        </w:rPr>
        <w:t>二、加强区域联合</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目前</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森林公园的知名度和影响力有限</w:t>
      </w:r>
      <w:r>
        <w:rPr>
          <w:rFonts w:hint="eastAsia" w:eastAsia="宋体" w:cs="Times New Roman"/>
          <w:color w:val="auto"/>
          <w:sz w:val="28"/>
          <w:szCs w:val="28"/>
          <w:lang w:eastAsia="zh-CN"/>
        </w:rPr>
        <w:t>，</w:t>
      </w:r>
      <w:r>
        <w:rPr>
          <w:rFonts w:hint="eastAsia" w:eastAsia="宋体" w:cs="Times New Roman"/>
          <w:color w:val="auto"/>
          <w:sz w:val="28"/>
          <w:szCs w:val="28"/>
        </w:rPr>
        <w:t>旅游形象还处在建设之中</w:t>
      </w:r>
      <w:r>
        <w:rPr>
          <w:rFonts w:hint="eastAsia" w:eastAsia="宋体" w:cs="Times New Roman"/>
          <w:color w:val="auto"/>
          <w:sz w:val="28"/>
          <w:szCs w:val="28"/>
          <w:lang w:eastAsia="zh-CN"/>
        </w:rPr>
        <w:t>。</w:t>
      </w:r>
      <w:r>
        <w:rPr>
          <w:rFonts w:hint="eastAsia" w:eastAsia="宋体" w:cs="Times New Roman"/>
          <w:color w:val="auto"/>
          <w:sz w:val="28"/>
          <w:szCs w:val="28"/>
        </w:rPr>
        <w:t>因此</w:t>
      </w:r>
      <w:r>
        <w:rPr>
          <w:rFonts w:hint="eastAsia" w:eastAsia="宋体" w:cs="Times New Roman"/>
          <w:color w:val="auto"/>
          <w:sz w:val="28"/>
          <w:szCs w:val="28"/>
          <w:lang w:eastAsia="zh-CN"/>
        </w:rPr>
        <w:t>，</w:t>
      </w:r>
      <w:r>
        <w:rPr>
          <w:rFonts w:hint="eastAsia" w:eastAsia="宋体" w:cs="Times New Roman"/>
          <w:color w:val="auto"/>
          <w:sz w:val="28"/>
          <w:szCs w:val="28"/>
        </w:rPr>
        <w:t>在营销过程中应努力加强区城合作力度，以期能够在最短的时间内</w:t>
      </w:r>
      <w:r>
        <w:rPr>
          <w:rFonts w:hint="eastAsia" w:eastAsia="宋体" w:cs="Times New Roman"/>
          <w:color w:val="auto"/>
          <w:sz w:val="28"/>
          <w:szCs w:val="28"/>
          <w:lang w:eastAsia="zh-CN"/>
        </w:rPr>
        <w:t>，</w:t>
      </w:r>
      <w:r>
        <w:rPr>
          <w:rFonts w:hint="eastAsia" w:eastAsia="宋体" w:cs="Times New Roman"/>
          <w:color w:val="auto"/>
          <w:sz w:val="28"/>
          <w:szCs w:val="28"/>
        </w:rPr>
        <w:t>实现旅游目的地影响力的快速扩增。</w:t>
      </w:r>
      <w:r>
        <w:rPr>
          <w:rFonts w:hint="eastAsia" w:eastAsia="宋体" w:cs="Times New Roman"/>
          <w:color w:val="auto"/>
          <w:sz w:val="28"/>
          <w:szCs w:val="28"/>
          <w:lang w:val="en-US" w:eastAsia="zh-CN"/>
        </w:rPr>
        <w:t>积极</w:t>
      </w:r>
      <w:r>
        <w:rPr>
          <w:rFonts w:hint="eastAsia" w:eastAsia="宋体" w:cs="Times New Roman"/>
          <w:color w:val="auto"/>
          <w:sz w:val="28"/>
          <w:szCs w:val="28"/>
        </w:rPr>
        <w:t>与</w:t>
      </w:r>
      <w:r>
        <w:rPr>
          <w:rFonts w:hint="eastAsia" w:eastAsia="宋体" w:cs="Times New Roman"/>
          <w:color w:val="auto"/>
          <w:sz w:val="28"/>
          <w:szCs w:val="28"/>
          <w:lang w:val="en-US" w:eastAsia="zh-CN"/>
        </w:rPr>
        <w:t>周边</w:t>
      </w:r>
      <w:r>
        <w:rPr>
          <w:rFonts w:hint="eastAsia" w:eastAsia="宋体" w:cs="Times New Roman"/>
          <w:color w:val="auto"/>
          <w:sz w:val="28"/>
          <w:szCs w:val="28"/>
        </w:rPr>
        <w:t>主要客源城市的旅游局和旅游企业合作</w:t>
      </w:r>
      <w:r>
        <w:rPr>
          <w:rFonts w:hint="eastAsia" w:eastAsia="宋体" w:cs="Times New Roman"/>
          <w:color w:val="auto"/>
          <w:sz w:val="28"/>
          <w:szCs w:val="28"/>
          <w:lang w:eastAsia="zh-CN"/>
        </w:rPr>
        <w:t>，</w:t>
      </w:r>
      <w:r>
        <w:rPr>
          <w:rFonts w:hint="eastAsia" w:eastAsia="宋体" w:cs="Times New Roman"/>
          <w:color w:val="auto"/>
          <w:sz w:val="28"/>
          <w:szCs w:val="28"/>
        </w:rPr>
        <w:t>如安阳</w:t>
      </w:r>
      <w:r>
        <w:rPr>
          <w:rFonts w:hint="eastAsia" w:eastAsia="宋体" w:cs="Times New Roman"/>
          <w:color w:val="auto"/>
          <w:sz w:val="28"/>
          <w:szCs w:val="28"/>
          <w:lang w:val="en-US" w:eastAsia="zh-CN"/>
        </w:rPr>
        <w:t>市</w:t>
      </w:r>
      <w:r>
        <w:rPr>
          <w:rFonts w:hint="eastAsia" w:eastAsia="宋体" w:cs="Times New Roman"/>
          <w:color w:val="auto"/>
          <w:sz w:val="28"/>
          <w:szCs w:val="28"/>
        </w:rPr>
        <w:t>、鹤壁</w:t>
      </w:r>
      <w:r>
        <w:rPr>
          <w:rFonts w:hint="eastAsia" w:eastAsia="宋体" w:cs="Times New Roman"/>
          <w:color w:val="auto"/>
          <w:sz w:val="28"/>
          <w:szCs w:val="28"/>
          <w:lang w:val="en-US" w:eastAsia="zh-CN"/>
        </w:rPr>
        <w:t>市、濮阳市旅游局以及</w:t>
      </w:r>
      <w:r>
        <w:rPr>
          <w:rFonts w:hint="eastAsia" w:eastAsia="宋体" w:cs="Times New Roman"/>
          <w:color w:val="auto"/>
          <w:sz w:val="28"/>
          <w:szCs w:val="28"/>
        </w:rPr>
        <w:t>旅游销售商等</w:t>
      </w:r>
      <w:r>
        <w:rPr>
          <w:rFonts w:hint="eastAsia" w:eastAsia="宋体" w:cs="Times New Roman"/>
          <w:color w:val="auto"/>
          <w:sz w:val="28"/>
          <w:szCs w:val="28"/>
          <w:lang w:eastAsia="zh-CN"/>
        </w:rPr>
        <w:t>，</w:t>
      </w:r>
      <w:r>
        <w:rPr>
          <w:rFonts w:hint="eastAsia" w:eastAsia="宋体" w:cs="Times New Roman"/>
          <w:color w:val="auto"/>
          <w:sz w:val="28"/>
          <w:szCs w:val="28"/>
        </w:rPr>
        <w:t>增加市场营销的时机和平台。此外</w:t>
      </w:r>
      <w:r>
        <w:rPr>
          <w:rFonts w:hint="eastAsia" w:eastAsia="宋体" w:cs="Times New Roman"/>
          <w:color w:val="auto"/>
          <w:sz w:val="28"/>
          <w:szCs w:val="28"/>
          <w:lang w:eastAsia="zh-CN"/>
        </w:rPr>
        <w:t>，</w:t>
      </w:r>
      <w:r>
        <w:rPr>
          <w:rFonts w:hint="eastAsia" w:eastAsia="宋体" w:cs="Times New Roman"/>
          <w:color w:val="auto"/>
          <w:sz w:val="28"/>
          <w:szCs w:val="28"/>
        </w:rPr>
        <w:t>进行联合营销</w:t>
      </w:r>
      <w:r>
        <w:rPr>
          <w:rFonts w:hint="eastAsia" w:eastAsia="宋体" w:cs="Times New Roman"/>
          <w:color w:val="auto"/>
          <w:sz w:val="28"/>
          <w:szCs w:val="28"/>
          <w:lang w:eastAsia="zh-CN"/>
        </w:rPr>
        <w:t>，</w:t>
      </w:r>
      <w:r>
        <w:rPr>
          <w:rFonts w:hint="eastAsia" w:eastAsia="宋体" w:cs="Times New Roman"/>
          <w:color w:val="auto"/>
          <w:sz w:val="28"/>
          <w:szCs w:val="28"/>
        </w:rPr>
        <w:t>进行相互推介</w:t>
      </w:r>
      <w:r>
        <w:rPr>
          <w:rFonts w:hint="eastAsia" w:eastAsia="宋体" w:cs="Times New Roman"/>
          <w:color w:val="auto"/>
          <w:sz w:val="28"/>
          <w:szCs w:val="28"/>
          <w:lang w:eastAsia="zh-CN"/>
        </w:rPr>
        <w:t>，</w:t>
      </w:r>
      <w:r>
        <w:rPr>
          <w:rFonts w:hint="eastAsia" w:eastAsia="宋体" w:cs="Times New Roman"/>
          <w:color w:val="auto"/>
          <w:sz w:val="28"/>
          <w:szCs w:val="28"/>
        </w:rPr>
        <w:t>通过建立区域联合机制</w:t>
      </w:r>
      <w:r>
        <w:rPr>
          <w:rFonts w:hint="eastAsia" w:eastAsia="宋体" w:cs="Times New Roman"/>
          <w:color w:val="auto"/>
          <w:sz w:val="28"/>
          <w:szCs w:val="28"/>
          <w:lang w:eastAsia="zh-CN"/>
        </w:rPr>
        <w:t>，</w:t>
      </w:r>
      <w:r>
        <w:rPr>
          <w:rFonts w:hint="eastAsia" w:eastAsia="宋体" w:cs="Times New Roman"/>
          <w:color w:val="auto"/>
          <w:sz w:val="28"/>
          <w:szCs w:val="28"/>
        </w:rPr>
        <w:t>共享客源市场。</w:t>
      </w:r>
    </w:p>
    <w:p>
      <w:pPr>
        <w:pStyle w:val="4"/>
        <w:rPr>
          <w:rFonts w:hint="eastAsia" w:ascii="宋体" w:hAnsi="宋体" w:eastAsia="宋体" w:cs="宋体"/>
          <w:lang w:val="en-US" w:eastAsia="zh-CN"/>
        </w:rPr>
      </w:pPr>
      <w:r>
        <w:rPr>
          <w:rFonts w:hint="eastAsia" w:ascii="宋体" w:hAnsi="宋体" w:eastAsia="宋体" w:cs="宋体"/>
          <w:lang w:val="en-US" w:eastAsia="zh-CN"/>
        </w:rPr>
        <w:t>三、加大营销宣传</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主要采取媒体组合策略</w:t>
      </w:r>
      <w:r>
        <w:rPr>
          <w:rFonts w:hint="eastAsia" w:eastAsia="宋体" w:cs="Times New Roman"/>
          <w:color w:val="auto"/>
          <w:sz w:val="28"/>
          <w:szCs w:val="28"/>
          <w:lang w:eastAsia="zh-CN"/>
        </w:rPr>
        <w:t>，</w:t>
      </w:r>
      <w:r>
        <w:rPr>
          <w:rFonts w:hint="eastAsia" w:eastAsia="宋体" w:cs="Times New Roman"/>
          <w:color w:val="auto"/>
          <w:sz w:val="28"/>
          <w:szCs w:val="28"/>
        </w:rPr>
        <w:t>把与市场营销有关的广告、促销、公关、直销、包装、新闻媒体</w:t>
      </w:r>
      <w:r>
        <w:rPr>
          <w:rFonts w:hint="eastAsia" w:eastAsia="宋体" w:cs="Times New Roman"/>
          <w:color w:val="auto"/>
          <w:sz w:val="28"/>
          <w:szCs w:val="28"/>
          <w:lang w:eastAsia="zh-CN"/>
        </w:rPr>
        <w:t>（</w:t>
      </w:r>
      <w:r>
        <w:rPr>
          <w:rFonts w:hint="eastAsia" w:eastAsia="宋体" w:cs="Times New Roman"/>
          <w:color w:val="auto"/>
          <w:sz w:val="28"/>
          <w:szCs w:val="28"/>
        </w:rPr>
        <w:t>互联网、平面、影视</w:t>
      </w:r>
      <w:r>
        <w:rPr>
          <w:rFonts w:hint="eastAsia" w:eastAsia="宋体" w:cs="Times New Roman"/>
          <w:color w:val="auto"/>
          <w:sz w:val="28"/>
          <w:szCs w:val="28"/>
          <w:lang w:eastAsia="zh-CN"/>
        </w:rPr>
        <w:t>）</w:t>
      </w:r>
      <w:r>
        <w:rPr>
          <w:rFonts w:hint="eastAsia" w:eastAsia="宋体" w:cs="Times New Roman"/>
          <w:color w:val="auto"/>
          <w:sz w:val="28"/>
          <w:szCs w:val="28"/>
        </w:rPr>
        <w:t>等一切传播活动都涵盖于营销活动的范围之内</w:t>
      </w:r>
      <w:r>
        <w:rPr>
          <w:rFonts w:hint="eastAsia" w:eastAsia="宋体" w:cs="Times New Roman"/>
          <w:color w:val="auto"/>
          <w:sz w:val="28"/>
          <w:szCs w:val="28"/>
          <w:lang w:eastAsia="zh-CN"/>
        </w:rPr>
        <w:t>，</w:t>
      </w:r>
      <w:r>
        <w:rPr>
          <w:rFonts w:hint="eastAsia" w:eastAsia="宋体" w:cs="Times New Roman"/>
          <w:color w:val="auto"/>
          <w:sz w:val="28"/>
          <w:szCs w:val="28"/>
        </w:rPr>
        <w:t>使森林公园能将统一的旅游资讯传达给游客。以与游客的沟通和满足其需要为价值取向</w:t>
      </w:r>
      <w:r>
        <w:rPr>
          <w:rFonts w:hint="eastAsia" w:eastAsia="宋体" w:cs="Times New Roman"/>
          <w:color w:val="auto"/>
          <w:sz w:val="28"/>
          <w:szCs w:val="28"/>
          <w:lang w:eastAsia="zh-CN"/>
        </w:rPr>
        <w:t>，</w:t>
      </w:r>
      <w:r>
        <w:rPr>
          <w:rFonts w:hint="eastAsia" w:eastAsia="宋体" w:cs="Times New Roman"/>
          <w:color w:val="auto"/>
          <w:sz w:val="28"/>
          <w:szCs w:val="28"/>
        </w:rPr>
        <w:t>确定统一的促销策略</w:t>
      </w:r>
      <w:r>
        <w:rPr>
          <w:rFonts w:hint="eastAsia" w:eastAsia="宋体" w:cs="Times New Roman"/>
          <w:color w:val="auto"/>
          <w:sz w:val="28"/>
          <w:szCs w:val="28"/>
          <w:lang w:eastAsia="zh-CN"/>
        </w:rPr>
        <w:t>，</w:t>
      </w:r>
      <w:r>
        <w:rPr>
          <w:rFonts w:hint="eastAsia" w:eastAsia="宋体" w:cs="Times New Roman"/>
          <w:color w:val="auto"/>
          <w:sz w:val="28"/>
          <w:szCs w:val="28"/>
        </w:rPr>
        <w:t>协调使用各种不同的传播手段</w:t>
      </w:r>
      <w:r>
        <w:rPr>
          <w:rFonts w:hint="eastAsia" w:eastAsia="宋体" w:cs="Times New Roman"/>
          <w:color w:val="auto"/>
          <w:sz w:val="28"/>
          <w:szCs w:val="28"/>
          <w:lang w:eastAsia="zh-CN"/>
        </w:rPr>
        <w:t>，</w:t>
      </w:r>
      <w:r>
        <w:rPr>
          <w:rFonts w:hint="eastAsia" w:eastAsia="宋体" w:cs="Times New Roman"/>
          <w:color w:val="auto"/>
          <w:sz w:val="28"/>
          <w:szCs w:val="28"/>
        </w:rPr>
        <w:t>发挥不同传播工具的优势</w:t>
      </w:r>
      <w:r>
        <w:rPr>
          <w:rFonts w:hint="eastAsia" w:eastAsia="宋体" w:cs="Times New Roman"/>
          <w:color w:val="auto"/>
          <w:sz w:val="28"/>
          <w:szCs w:val="28"/>
          <w:lang w:eastAsia="zh-CN"/>
        </w:rPr>
        <w:t>，</w:t>
      </w:r>
      <w:r>
        <w:rPr>
          <w:rFonts w:hint="eastAsia" w:eastAsia="宋体" w:cs="Times New Roman"/>
          <w:color w:val="auto"/>
          <w:sz w:val="28"/>
          <w:szCs w:val="28"/>
        </w:rPr>
        <w:t>以高强度的冲击力形成促销高潮。除了传统宣传方式以外</w:t>
      </w:r>
      <w:r>
        <w:rPr>
          <w:rFonts w:hint="eastAsia" w:eastAsia="宋体" w:cs="Times New Roman"/>
          <w:color w:val="auto"/>
          <w:sz w:val="28"/>
          <w:szCs w:val="28"/>
          <w:lang w:eastAsia="zh-CN"/>
        </w:rPr>
        <w:t>，</w:t>
      </w:r>
      <w:r>
        <w:rPr>
          <w:rFonts w:hint="eastAsia" w:eastAsia="宋体" w:cs="Times New Roman"/>
          <w:color w:val="auto"/>
          <w:sz w:val="28"/>
          <w:szCs w:val="28"/>
        </w:rPr>
        <w:t>还应采用新的宣传手段。如自媒体、新媒体的宣传</w:t>
      </w:r>
      <w:r>
        <w:rPr>
          <w:rFonts w:hint="eastAsia" w:eastAsia="宋体" w:cs="Times New Roman"/>
          <w:color w:val="auto"/>
          <w:sz w:val="28"/>
          <w:szCs w:val="28"/>
          <w:lang w:eastAsia="zh-CN"/>
        </w:rPr>
        <w:t>；</w:t>
      </w:r>
      <w:r>
        <w:rPr>
          <w:rFonts w:hint="eastAsia" w:eastAsia="宋体" w:cs="Times New Roman"/>
          <w:color w:val="auto"/>
          <w:sz w:val="28"/>
          <w:szCs w:val="28"/>
        </w:rPr>
        <w:t>旅游达人的推广</w:t>
      </w:r>
      <w:r>
        <w:rPr>
          <w:rFonts w:hint="eastAsia" w:eastAsia="宋体" w:cs="Times New Roman"/>
          <w:color w:val="auto"/>
          <w:sz w:val="28"/>
          <w:szCs w:val="28"/>
          <w:lang w:eastAsia="zh-CN"/>
        </w:rPr>
        <w:t>；</w:t>
      </w:r>
      <w:r>
        <w:rPr>
          <w:rFonts w:hint="eastAsia" w:eastAsia="宋体" w:cs="Times New Roman"/>
          <w:color w:val="auto"/>
          <w:sz w:val="28"/>
          <w:szCs w:val="28"/>
        </w:rPr>
        <w:t>微信公众平台的推广</w:t>
      </w:r>
      <w:r>
        <w:rPr>
          <w:rFonts w:hint="eastAsia" w:eastAsia="宋体" w:cs="Times New Roman"/>
          <w:color w:val="auto"/>
          <w:sz w:val="28"/>
          <w:szCs w:val="28"/>
          <w:lang w:eastAsia="zh-CN"/>
        </w:rPr>
        <w:t>；</w:t>
      </w:r>
      <w:r>
        <w:rPr>
          <w:rFonts w:hint="eastAsia" w:eastAsia="宋体" w:cs="Times New Roman"/>
          <w:color w:val="auto"/>
          <w:sz w:val="28"/>
          <w:szCs w:val="28"/>
        </w:rPr>
        <w:t>建立与游客交流的纽带及口碑的宣传。</w:t>
      </w:r>
    </w:p>
    <w:p>
      <w:pPr>
        <w:pStyle w:val="4"/>
        <w:rPr>
          <w:rFonts w:hint="eastAsia" w:ascii="宋体" w:hAnsi="宋体" w:eastAsia="宋体" w:cs="宋体"/>
          <w:lang w:val="en-US" w:eastAsia="zh-CN"/>
        </w:rPr>
      </w:pPr>
      <w:r>
        <w:rPr>
          <w:rFonts w:hint="eastAsia" w:ascii="宋体" w:hAnsi="宋体" w:eastAsia="宋体" w:cs="宋体"/>
          <w:lang w:val="en-US" w:eastAsia="zh-CN"/>
        </w:rPr>
        <w:t>四、拓展营销渠道</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（一）充分利用传统营销渠道</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通过传统的电视、报纸等媒体</w:t>
      </w:r>
      <w:r>
        <w:rPr>
          <w:rFonts w:hint="eastAsia" w:eastAsia="宋体" w:cs="Times New Roman"/>
          <w:color w:val="auto"/>
          <w:sz w:val="28"/>
          <w:szCs w:val="28"/>
          <w:lang w:val="en-US" w:eastAsia="zh-CN"/>
        </w:rPr>
        <w:t>平台</w:t>
      </w:r>
      <w:r>
        <w:rPr>
          <w:rFonts w:hint="eastAsia" w:eastAsia="宋体" w:cs="Times New Roman"/>
          <w:color w:val="auto"/>
          <w:sz w:val="28"/>
          <w:szCs w:val="28"/>
          <w:lang w:eastAsia="zh-CN"/>
        </w:rPr>
        <w:t>，</w:t>
      </w:r>
      <w:r>
        <w:rPr>
          <w:rFonts w:hint="eastAsia" w:eastAsia="宋体" w:cs="Times New Roman"/>
          <w:color w:val="auto"/>
          <w:sz w:val="28"/>
          <w:szCs w:val="28"/>
        </w:rPr>
        <w:t>将</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森林公园的广告全面铺开</w:t>
      </w:r>
      <w:r>
        <w:rPr>
          <w:rFonts w:hint="eastAsia" w:eastAsia="宋体" w:cs="Times New Roman"/>
          <w:color w:val="auto"/>
          <w:sz w:val="28"/>
          <w:szCs w:val="28"/>
          <w:lang w:eastAsia="zh-CN"/>
        </w:rPr>
        <w:t>，</w:t>
      </w:r>
      <w:r>
        <w:rPr>
          <w:rFonts w:hint="eastAsia" w:eastAsia="宋体" w:cs="Times New Roman"/>
          <w:color w:val="auto"/>
          <w:sz w:val="28"/>
          <w:szCs w:val="28"/>
        </w:rPr>
        <w:t>使森林公园能够迅速建立一定的群众基础</w:t>
      </w:r>
      <w:r>
        <w:rPr>
          <w:rFonts w:hint="eastAsia" w:eastAsia="宋体" w:cs="Times New Roman"/>
          <w:color w:val="auto"/>
          <w:sz w:val="28"/>
          <w:szCs w:val="28"/>
          <w:lang w:eastAsia="zh-CN"/>
        </w:rPr>
        <w:t>，</w:t>
      </w:r>
      <w:r>
        <w:rPr>
          <w:rFonts w:hint="eastAsia" w:eastAsia="宋体" w:cs="Times New Roman"/>
          <w:color w:val="auto"/>
          <w:sz w:val="28"/>
          <w:szCs w:val="28"/>
        </w:rPr>
        <w:t>激发游客的旅游动机。</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（二）积极拓展网络营销渠道</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推进建设“互联网+”的旅游营销模式</w:t>
      </w:r>
      <w:r>
        <w:rPr>
          <w:rFonts w:hint="eastAsia" w:eastAsia="宋体" w:cs="Times New Roman"/>
          <w:color w:val="auto"/>
          <w:sz w:val="28"/>
          <w:szCs w:val="28"/>
          <w:lang w:eastAsia="zh-CN"/>
        </w:rPr>
        <w:t>，</w:t>
      </w:r>
      <w:r>
        <w:rPr>
          <w:rFonts w:hint="eastAsia" w:eastAsia="宋体" w:cs="Times New Roman"/>
          <w:color w:val="auto"/>
          <w:sz w:val="28"/>
          <w:szCs w:val="28"/>
        </w:rPr>
        <w:t>建立和完善“</w:t>
      </w:r>
      <w:r>
        <w:rPr>
          <w:rFonts w:hint="eastAsia" w:eastAsia="宋体" w:cs="Times New Roman"/>
          <w:color w:val="auto"/>
          <w:sz w:val="28"/>
          <w:szCs w:val="28"/>
          <w:lang w:val="en-US" w:eastAsia="zh-CN"/>
        </w:rPr>
        <w:t>西凤省级森林公园</w:t>
      </w:r>
      <w:r>
        <w:rPr>
          <w:rFonts w:hint="eastAsia" w:eastAsia="宋体" w:cs="Times New Roman"/>
          <w:color w:val="auto"/>
          <w:sz w:val="28"/>
          <w:szCs w:val="28"/>
        </w:rPr>
        <w:t>”网站</w:t>
      </w:r>
      <w:r>
        <w:rPr>
          <w:rFonts w:hint="eastAsia" w:eastAsia="宋体" w:cs="Times New Roman"/>
          <w:color w:val="auto"/>
          <w:sz w:val="28"/>
          <w:szCs w:val="28"/>
          <w:lang w:eastAsia="zh-CN"/>
        </w:rPr>
        <w:t>，</w:t>
      </w:r>
      <w:r>
        <w:rPr>
          <w:rFonts w:hint="eastAsia" w:eastAsia="宋体" w:cs="Times New Roman"/>
          <w:color w:val="auto"/>
          <w:sz w:val="28"/>
          <w:szCs w:val="28"/>
        </w:rPr>
        <w:t>介绍公园的主要景点</w:t>
      </w:r>
      <w:r>
        <w:rPr>
          <w:rFonts w:hint="eastAsia" w:eastAsia="宋体" w:cs="Times New Roman"/>
          <w:color w:val="auto"/>
          <w:sz w:val="28"/>
          <w:szCs w:val="28"/>
          <w:lang w:eastAsia="zh-CN"/>
        </w:rPr>
        <w:t>，</w:t>
      </w:r>
      <w:r>
        <w:rPr>
          <w:rFonts w:hint="eastAsia" w:eastAsia="宋体" w:cs="Times New Roman"/>
          <w:color w:val="auto"/>
          <w:sz w:val="28"/>
          <w:szCs w:val="28"/>
        </w:rPr>
        <w:t>可以进一步扩大影响。在“</w:t>
      </w:r>
      <w:r>
        <w:rPr>
          <w:rFonts w:hint="eastAsia" w:eastAsia="宋体" w:cs="Times New Roman"/>
          <w:color w:val="auto"/>
          <w:sz w:val="28"/>
          <w:szCs w:val="28"/>
          <w:lang w:val="en-US" w:eastAsia="zh-CN"/>
        </w:rPr>
        <w:t>濮阳市</w:t>
      </w:r>
      <w:r>
        <w:rPr>
          <w:rFonts w:hint="eastAsia" w:eastAsia="宋体" w:cs="Times New Roman"/>
          <w:color w:val="auto"/>
          <w:sz w:val="28"/>
          <w:szCs w:val="28"/>
        </w:rPr>
        <w:t>旅游网”、“</w:t>
      </w:r>
      <w:r>
        <w:rPr>
          <w:rFonts w:hint="eastAsia" w:eastAsia="宋体" w:cs="Times New Roman"/>
          <w:color w:val="auto"/>
          <w:sz w:val="28"/>
          <w:szCs w:val="28"/>
          <w:lang w:val="en-US" w:eastAsia="zh-CN"/>
        </w:rPr>
        <w:t>台前县</w:t>
      </w:r>
      <w:r>
        <w:rPr>
          <w:rFonts w:hint="eastAsia" w:eastAsia="宋体" w:cs="Times New Roman"/>
          <w:color w:val="auto"/>
          <w:sz w:val="28"/>
          <w:szCs w:val="28"/>
        </w:rPr>
        <w:t>旅游局政务网”等相关网站上设置“</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森林公园”网站链接。通过公众号、订阅号等自媒体营销</w:t>
      </w:r>
      <w:r>
        <w:rPr>
          <w:rFonts w:hint="eastAsia" w:eastAsia="宋体" w:cs="Times New Roman"/>
          <w:color w:val="auto"/>
          <w:sz w:val="28"/>
          <w:szCs w:val="28"/>
          <w:lang w:eastAsia="zh-CN"/>
        </w:rPr>
        <w:t>，</w:t>
      </w:r>
      <w:r>
        <w:rPr>
          <w:rFonts w:hint="eastAsia" w:eastAsia="宋体" w:cs="Times New Roman"/>
          <w:color w:val="auto"/>
          <w:sz w:val="28"/>
          <w:szCs w:val="28"/>
        </w:rPr>
        <w:t>提升森林公园的知名度。同时加强智慧景区的建设</w:t>
      </w:r>
      <w:r>
        <w:rPr>
          <w:rFonts w:hint="eastAsia" w:eastAsia="宋体" w:cs="Times New Roman"/>
          <w:color w:val="auto"/>
          <w:sz w:val="28"/>
          <w:szCs w:val="28"/>
          <w:lang w:eastAsia="zh-CN"/>
        </w:rPr>
        <w:t>，</w:t>
      </w:r>
      <w:r>
        <w:rPr>
          <w:rFonts w:hint="eastAsia" w:eastAsia="宋体" w:cs="Times New Roman"/>
          <w:color w:val="auto"/>
          <w:sz w:val="28"/>
          <w:szCs w:val="28"/>
        </w:rPr>
        <w:t>提高区域内宣传手段的更新。</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（三）开发旅游业内营销渠道</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要积极开辟</w:t>
      </w:r>
      <w:r>
        <w:rPr>
          <w:rFonts w:hint="eastAsia" w:eastAsia="宋体" w:cs="Times New Roman"/>
          <w:color w:val="auto"/>
          <w:sz w:val="28"/>
          <w:szCs w:val="28"/>
          <w:lang w:val="en-US" w:eastAsia="zh-CN"/>
        </w:rPr>
        <w:t>濮阳市甚至河南省</w:t>
      </w:r>
      <w:r>
        <w:rPr>
          <w:rFonts w:hint="eastAsia" w:eastAsia="宋体" w:cs="Times New Roman"/>
          <w:color w:val="auto"/>
          <w:sz w:val="28"/>
          <w:szCs w:val="28"/>
        </w:rPr>
        <w:t>旅游公司</w:t>
      </w:r>
      <w:r>
        <w:rPr>
          <w:rFonts w:hint="eastAsia" w:eastAsia="宋体" w:cs="Times New Roman"/>
          <w:color w:val="auto"/>
          <w:sz w:val="28"/>
          <w:szCs w:val="28"/>
          <w:lang w:eastAsia="zh-CN"/>
        </w:rPr>
        <w:t>（</w:t>
      </w:r>
      <w:r>
        <w:rPr>
          <w:rFonts w:hint="eastAsia" w:eastAsia="宋体" w:cs="Times New Roman"/>
          <w:color w:val="auto"/>
          <w:sz w:val="28"/>
          <w:szCs w:val="28"/>
        </w:rPr>
        <w:t>旅行社</w:t>
      </w:r>
      <w:r>
        <w:rPr>
          <w:rFonts w:hint="eastAsia" w:eastAsia="宋体" w:cs="Times New Roman"/>
          <w:color w:val="auto"/>
          <w:sz w:val="28"/>
          <w:szCs w:val="28"/>
          <w:lang w:eastAsia="zh-CN"/>
        </w:rPr>
        <w:t>）</w:t>
      </w:r>
      <w:r>
        <w:rPr>
          <w:rFonts w:hint="eastAsia" w:eastAsia="宋体" w:cs="Times New Roman"/>
          <w:color w:val="auto"/>
          <w:sz w:val="28"/>
          <w:szCs w:val="28"/>
        </w:rPr>
        <w:t>、酒店集团、旅游汽车公司等旅游业内组团渠道</w:t>
      </w:r>
      <w:r>
        <w:rPr>
          <w:rFonts w:hint="eastAsia" w:eastAsia="宋体" w:cs="Times New Roman"/>
          <w:color w:val="auto"/>
          <w:sz w:val="28"/>
          <w:szCs w:val="28"/>
          <w:lang w:eastAsia="zh-CN"/>
        </w:rPr>
        <w:t>，</w:t>
      </w:r>
      <w:r>
        <w:rPr>
          <w:rFonts w:hint="eastAsia" w:eastAsia="宋体" w:cs="Times New Roman"/>
          <w:color w:val="auto"/>
          <w:sz w:val="28"/>
          <w:szCs w:val="28"/>
        </w:rPr>
        <w:t>并以组团业绩为依据制定和采取不同的奖励机制</w:t>
      </w:r>
      <w:r>
        <w:rPr>
          <w:rFonts w:hint="eastAsia" w:eastAsia="宋体" w:cs="Times New Roman"/>
          <w:color w:val="auto"/>
          <w:sz w:val="28"/>
          <w:szCs w:val="28"/>
          <w:lang w:eastAsia="zh-CN"/>
        </w:rPr>
        <w:t>，</w:t>
      </w:r>
      <w:r>
        <w:rPr>
          <w:rFonts w:hint="eastAsia" w:eastAsia="宋体" w:cs="Times New Roman"/>
          <w:color w:val="auto"/>
          <w:sz w:val="28"/>
          <w:szCs w:val="28"/>
        </w:rPr>
        <w:t>不断地开发新的代理商</w:t>
      </w:r>
      <w:r>
        <w:rPr>
          <w:rFonts w:hint="eastAsia" w:eastAsia="宋体" w:cs="Times New Roman"/>
          <w:color w:val="auto"/>
          <w:sz w:val="28"/>
          <w:szCs w:val="28"/>
          <w:lang w:eastAsia="zh-CN"/>
        </w:rPr>
        <w:t>；</w:t>
      </w:r>
      <w:r>
        <w:rPr>
          <w:rFonts w:hint="eastAsia" w:eastAsia="宋体" w:cs="Times New Roman"/>
          <w:color w:val="auto"/>
          <w:sz w:val="28"/>
          <w:szCs w:val="28"/>
        </w:rPr>
        <w:t>积极与国内有影响力的大型旅游电子商务企业合作</w:t>
      </w:r>
      <w:r>
        <w:rPr>
          <w:rFonts w:hint="eastAsia" w:eastAsia="宋体" w:cs="Times New Roman"/>
          <w:color w:val="auto"/>
          <w:sz w:val="28"/>
          <w:szCs w:val="28"/>
          <w:lang w:eastAsia="zh-CN"/>
        </w:rPr>
        <w:t>，</w:t>
      </w:r>
      <w:r>
        <w:rPr>
          <w:rFonts w:hint="eastAsia" w:eastAsia="宋体" w:cs="Times New Roman"/>
          <w:color w:val="auto"/>
          <w:sz w:val="28"/>
          <w:szCs w:val="28"/>
        </w:rPr>
        <w:t>如携程、驴妈妈、去哪儿等线上旅游服务运营商合作</w:t>
      </w:r>
      <w:r>
        <w:rPr>
          <w:rFonts w:hint="eastAsia" w:eastAsia="宋体" w:cs="Times New Roman"/>
          <w:color w:val="auto"/>
          <w:sz w:val="28"/>
          <w:szCs w:val="28"/>
          <w:lang w:eastAsia="zh-CN"/>
        </w:rPr>
        <w:t>，</w:t>
      </w:r>
      <w:r>
        <w:rPr>
          <w:rFonts w:hint="eastAsia" w:eastAsia="宋体" w:cs="Times New Roman"/>
          <w:color w:val="auto"/>
          <w:sz w:val="28"/>
          <w:szCs w:val="28"/>
        </w:rPr>
        <w:t>使游客可以实现在线</w:t>
      </w:r>
      <w:r>
        <w:rPr>
          <w:rFonts w:hint="eastAsia" w:eastAsia="宋体" w:cs="Times New Roman"/>
          <w:color w:val="auto"/>
          <w:sz w:val="28"/>
          <w:szCs w:val="28"/>
          <w:lang w:eastAsia="zh-CN"/>
        </w:rPr>
        <w:t>预订</w:t>
      </w:r>
      <w:r>
        <w:rPr>
          <w:rFonts w:hint="eastAsia" w:eastAsia="宋体" w:cs="Times New Roman"/>
          <w:color w:val="auto"/>
          <w:sz w:val="28"/>
          <w:szCs w:val="28"/>
        </w:rPr>
        <w:t>、退订、付款等业务</w:t>
      </w:r>
      <w:r>
        <w:rPr>
          <w:rFonts w:hint="eastAsia" w:eastAsia="宋体" w:cs="Times New Roman"/>
          <w:color w:val="auto"/>
          <w:sz w:val="28"/>
          <w:szCs w:val="28"/>
          <w:lang w:eastAsia="zh-CN"/>
        </w:rPr>
        <w:t>，</w:t>
      </w:r>
      <w:r>
        <w:rPr>
          <w:rFonts w:hint="eastAsia" w:eastAsia="宋体" w:cs="Times New Roman"/>
          <w:color w:val="auto"/>
          <w:sz w:val="28"/>
          <w:szCs w:val="28"/>
        </w:rPr>
        <w:t>实现产品的销售、促销。</w:t>
      </w:r>
    </w:p>
    <w:p>
      <w:pPr>
        <w:pStyle w:val="4"/>
        <w:rPr>
          <w:rFonts w:hint="eastAsia" w:ascii="宋体" w:hAnsi="宋体" w:eastAsia="宋体" w:cs="宋体"/>
          <w:lang w:val="en-US" w:eastAsia="zh-CN"/>
        </w:rPr>
      </w:pPr>
      <w:r>
        <w:rPr>
          <w:rFonts w:hint="eastAsia" w:ascii="宋体" w:hAnsi="宋体" w:eastAsia="宋体" w:cs="宋体"/>
          <w:lang w:val="en-US" w:eastAsia="zh-CN"/>
        </w:rPr>
        <w:t>五、多途径营销推广</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（一）户外广告和宣传品传播</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在</w:t>
      </w:r>
      <w:r>
        <w:rPr>
          <w:rFonts w:hint="eastAsia" w:eastAsia="宋体" w:cs="Times New Roman"/>
          <w:color w:val="auto"/>
          <w:sz w:val="28"/>
          <w:szCs w:val="28"/>
          <w:lang w:val="en-US" w:eastAsia="zh-CN"/>
        </w:rPr>
        <w:t>台前县、濮阳市</w:t>
      </w:r>
      <w:r>
        <w:rPr>
          <w:rFonts w:hint="eastAsia" w:eastAsia="宋体" w:cs="Times New Roman"/>
          <w:color w:val="auto"/>
          <w:sz w:val="28"/>
          <w:szCs w:val="28"/>
        </w:rPr>
        <w:t>内主要公共场所、公交线路、高速公路两侧等处设置宣传广告牌宣传公园的旅游形象和主要景点</w:t>
      </w:r>
      <w:r>
        <w:rPr>
          <w:rFonts w:hint="eastAsia" w:eastAsia="宋体" w:cs="Times New Roman"/>
          <w:color w:val="auto"/>
          <w:sz w:val="28"/>
          <w:szCs w:val="28"/>
          <w:lang w:eastAsia="zh-CN"/>
        </w:rPr>
        <w:t>，</w:t>
      </w:r>
      <w:r>
        <w:rPr>
          <w:rFonts w:hint="eastAsia" w:eastAsia="宋体" w:cs="Times New Roman"/>
          <w:color w:val="auto"/>
          <w:sz w:val="28"/>
          <w:szCs w:val="28"/>
        </w:rPr>
        <w:t>在景区门票、旅游纪念品上印上公园的标志性景点</w:t>
      </w:r>
      <w:r>
        <w:rPr>
          <w:rFonts w:hint="eastAsia" w:eastAsia="宋体" w:cs="Times New Roman"/>
          <w:color w:val="auto"/>
          <w:sz w:val="28"/>
          <w:szCs w:val="28"/>
          <w:lang w:eastAsia="zh-CN"/>
        </w:rPr>
        <w:t>，</w:t>
      </w:r>
      <w:r>
        <w:rPr>
          <w:rFonts w:hint="eastAsia" w:eastAsia="宋体" w:cs="Times New Roman"/>
          <w:color w:val="auto"/>
          <w:sz w:val="28"/>
          <w:szCs w:val="28"/>
        </w:rPr>
        <w:t>通过旅游画册</w:t>
      </w:r>
      <w:r>
        <w:rPr>
          <w:rFonts w:hint="eastAsia" w:eastAsia="宋体" w:cs="Times New Roman"/>
          <w:color w:val="auto"/>
          <w:sz w:val="28"/>
          <w:szCs w:val="28"/>
          <w:lang w:eastAsia="zh-CN"/>
        </w:rPr>
        <w:t>，</w:t>
      </w:r>
      <w:r>
        <w:rPr>
          <w:rFonts w:hint="eastAsia" w:eastAsia="宋体" w:cs="Times New Roman"/>
          <w:color w:val="auto"/>
          <w:sz w:val="28"/>
          <w:szCs w:val="28"/>
        </w:rPr>
        <w:t>让更多的人了解</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w:t>
      </w:r>
    </w:p>
    <w:p>
      <w:pPr>
        <w:pStyle w:val="42"/>
        <w:widowControl/>
        <w:adjustRightInd/>
        <w:snapToGrid/>
        <w:spacing w:before="120" w:beforeLines="50" w:line="360" w:lineRule="auto"/>
        <w:ind w:firstLine="562" w:firstLineChars="0"/>
        <w:jc w:val="both"/>
        <w:outlineLvl w:val="3"/>
        <w:rPr>
          <w:rFonts w:hint="default" w:eastAsia="楷体" w:cs="Times New Roman"/>
          <w:b/>
          <w:bCs/>
          <w:color w:val="auto"/>
          <w:sz w:val="28"/>
          <w:szCs w:val="28"/>
          <w:lang w:val="en-US" w:eastAsia="zh-CN"/>
        </w:rPr>
      </w:pPr>
      <w:r>
        <w:rPr>
          <w:rFonts w:hint="eastAsia" w:eastAsia="楷体" w:cs="Times New Roman"/>
          <w:b/>
          <w:bCs/>
          <w:color w:val="auto"/>
          <w:sz w:val="28"/>
          <w:szCs w:val="28"/>
          <w:lang w:val="en-US" w:eastAsia="zh-CN"/>
        </w:rPr>
        <w:t>（二）节事推动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rPr>
        <w:t>旅游节事活动是旅游品牌传播的利器。可通过举办各种节庆活动</w:t>
      </w:r>
      <w:r>
        <w:rPr>
          <w:rFonts w:hint="eastAsia" w:eastAsia="宋体" w:cs="Times New Roman"/>
          <w:color w:val="auto"/>
          <w:sz w:val="28"/>
          <w:szCs w:val="28"/>
          <w:lang w:eastAsia="zh-CN"/>
        </w:rPr>
        <w:t>，</w:t>
      </w:r>
      <w:r>
        <w:rPr>
          <w:rFonts w:hint="eastAsia" w:eastAsia="宋体" w:cs="Times New Roman"/>
          <w:color w:val="auto"/>
          <w:sz w:val="28"/>
          <w:szCs w:val="28"/>
        </w:rPr>
        <w:t>提升</w:t>
      </w:r>
      <w:r>
        <w:rPr>
          <w:rFonts w:hint="eastAsia" w:eastAsia="宋体" w:cs="Times New Roman"/>
          <w:color w:val="auto"/>
          <w:sz w:val="28"/>
          <w:szCs w:val="28"/>
          <w:lang w:val="en-US" w:eastAsia="zh-CN"/>
        </w:rPr>
        <w:t>森林公园的</w:t>
      </w:r>
      <w:r>
        <w:rPr>
          <w:rFonts w:hint="eastAsia" w:eastAsia="宋体" w:cs="Times New Roman"/>
          <w:color w:val="auto"/>
          <w:sz w:val="28"/>
          <w:szCs w:val="28"/>
        </w:rPr>
        <w:t>知名度和整体形象。如森林文化节、避暑度假节、摄影大赛</w:t>
      </w:r>
      <w:r>
        <w:rPr>
          <w:rFonts w:hint="eastAsia" w:eastAsia="宋体" w:cs="Times New Roman"/>
          <w:color w:val="auto"/>
          <w:sz w:val="28"/>
          <w:szCs w:val="28"/>
          <w:lang w:val="en-US" w:eastAsia="zh-CN"/>
        </w:rPr>
        <w:t>等</w:t>
      </w:r>
      <w:r>
        <w:rPr>
          <w:rFonts w:hint="eastAsia" w:eastAsia="宋体" w:cs="Times New Roman"/>
          <w:color w:val="auto"/>
          <w:sz w:val="28"/>
          <w:szCs w:val="28"/>
        </w:rPr>
        <w:t>。各类节事活动需要具体策划</w:t>
      </w:r>
      <w:r>
        <w:rPr>
          <w:rFonts w:hint="eastAsia" w:eastAsia="宋体" w:cs="Times New Roman"/>
          <w:color w:val="auto"/>
          <w:sz w:val="28"/>
          <w:szCs w:val="28"/>
          <w:lang w:eastAsia="zh-CN"/>
        </w:rPr>
        <w:t>，</w:t>
      </w:r>
      <w:r>
        <w:rPr>
          <w:rFonts w:hint="eastAsia" w:eastAsia="宋体" w:cs="Times New Roman"/>
          <w:color w:val="auto"/>
          <w:sz w:val="28"/>
          <w:szCs w:val="28"/>
        </w:rPr>
        <w:t>并聘请专业团队运营。</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1.夏季森林生态文化节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内容包括旅游景区推介、林区旅游商品展示、文化艺术交流、林区文艺演绎、健身文化推广</w:t>
      </w:r>
      <w:r>
        <w:rPr>
          <w:rFonts w:hint="eastAsia" w:eastAsia="宋体" w:cs="Times New Roman"/>
          <w:color w:val="auto"/>
          <w:sz w:val="28"/>
          <w:szCs w:val="28"/>
          <w:lang w:eastAsia="zh-CN"/>
        </w:rPr>
        <w:t>、</w:t>
      </w:r>
      <w:r>
        <w:rPr>
          <w:rFonts w:hint="eastAsia" w:eastAsia="宋体" w:cs="Times New Roman"/>
          <w:color w:val="auto"/>
          <w:sz w:val="28"/>
          <w:szCs w:val="28"/>
        </w:rPr>
        <w:t>旅游论坛、新闻发布会等。</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2.</w:t>
      </w:r>
      <w:r>
        <w:rPr>
          <w:rFonts w:hint="eastAsia" w:eastAsia="宋体" w:cs="Times New Roman"/>
          <w:color w:val="auto"/>
          <w:sz w:val="28"/>
          <w:szCs w:val="28"/>
        </w:rPr>
        <w:t>森林康养文化节</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内容包括康养文化旅游论坛、</w:t>
      </w:r>
      <w:r>
        <w:rPr>
          <w:rFonts w:hint="eastAsia" w:eastAsia="宋体" w:cs="Times New Roman"/>
          <w:color w:val="auto"/>
          <w:sz w:val="28"/>
          <w:szCs w:val="28"/>
          <w:lang w:val="en-US" w:eastAsia="zh-CN"/>
        </w:rPr>
        <w:t>森林</w:t>
      </w:r>
      <w:r>
        <w:rPr>
          <w:rFonts w:hint="eastAsia" w:eastAsia="宋体" w:cs="Times New Roman"/>
          <w:color w:val="auto"/>
          <w:sz w:val="28"/>
          <w:szCs w:val="28"/>
        </w:rPr>
        <w:t>摄影比赛、森林穿越赛</w:t>
      </w:r>
      <w:r>
        <w:rPr>
          <w:rFonts w:hint="eastAsia" w:eastAsia="宋体" w:cs="Times New Roman"/>
          <w:color w:val="auto"/>
          <w:sz w:val="28"/>
          <w:szCs w:val="28"/>
          <w:lang w:val="en-US" w:eastAsia="zh-CN"/>
        </w:rPr>
        <w:t>等</w:t>
      </w:r>
      <w:r>
        <w:rPr>
          <w:rFonts w:hint="eastAsia" w:eastAsia="宋体" w:cs="Times New Roman"/>
          <w:color w:val="auto"/>
          <w:sz w:val="28"/>
          <w:szCs w:val="28"/>
        </w:rPr>
        <w:t>。</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lang w:val="en-US" w:eastAsia="zh-CN"/>
        </w:rPr>
        <w:t>3.</w:t>
      </w:r>
      <w:r>
        <w:rPr>
          <w:rFonts w:hint="eastAsia" w:eastAsia="宋体" w:cs="Times New Roman"/>
          <w:color w:val="auto"/>
          <w:sz w:val="28"/>
          <w:szCs w:val="28"/>
        </w:rPr>
        <w:t>体育赛事</w:t>
      </w:r>
    </w:p>
    <w:p>
      <w:pPr>
        <w:widowControl/>
        <w:adjustRightInd/>
        <w:snapToGrid/>
        <w:spacing w:line="360" w:lineRule="auto"/>
        <w:ind w:firstLine="560" w:firstLineChars="0"/>
        <w:jc w:val="both"/>
        <w:rPr>
          <w:rFonts w:hint="eastAsia" w:eastAsia="宋体" w:cs="Times New Roman"/>
          <w:color w:val="auto"/>
          <w:sz w:val="28"/>
          <w:szCs w:val="28"/>
        </w:rPr>
      </w:pPr>
      <w:r>
        <w:rPr>
          <w:rFonts w:hint="eastAsia" w:eastAsia="宋体" w:cs="Times New Roman"/>
          <w:color w:val="auto"/>
          <w:sz w:val="28"/>
          <w:szCs w:val="28"/>
        </w:rPr>
        <w:t>举办各种体育赛事活动</w:t>
      </w:r>
      <w:r>
        <w:rPr>
          <w:rFonts w:hint="eastAsia" w:eastAsia="宋体" w:cs="Times New Roman"/>
          <w:color w:val="auto"/>
          <w:sz w:val="28"/>
          <w:szCs w:val="28"/>
          <w:lang w:eastAsia="zh-CN"/>
        </w:rPr>
        <w:t>，</w:t>
      </w:r>
      <w:r>
        <w:rPr>
          <w:rFonts w:hint="eastAsia" w:eastAsia="宋体" w:cs="Times New Roman"/>
          <w:color w:val="auto"/>
          <w:sz w:val="28"/>
          <w:szCs w:val="28"/>
        </w:rPr>
        <w:t>提高区域的影响力</w:t>
      </w:r>
      <w:r>
        <w:rPr>
          <w:rFonts w:hint="eastAsia" w:eastAsia="宋体" w:cs="Times New Roman"/>
          <w:color w:val="auto"/>
          <w:sz w:val="28"/>
          <w:szCs w:val="28"/>
          <w:lang w:eastAsia="zh-CN"/>
        </w:rPr>
        <w:t>，</w:t>
      </w:r>
      <w:r>
        <w:rPr>
          <w:rFonts w:hint="eastAsia" w:eastAsia="宋体" w:cs="Times New Roman"/>
          <w:color w:val="auto"/>
          <w:sz w:val="28"/>
          <w:szCs w:val="28"/>
        </w:rPr>
        <w:t>对外推广</w:t>
      </w:r>
      <w:r>
        <w:rPr>
          <w:rFonts w:hint="eastAsia" w:eastAsia="宋体" w:cs="Times New Roman"/>
          <w:color w:val="auto"/>
          <w:sz w:val="28"/>
          <w:szCs w:val="28"/>
          <w:lang w:val="en-US" w:eastAsia="zh-CN"/>
        </w:rPr>
        <w:t>西凤省级</w:t>
      </w:r>
      <w:r>
        <w:rPr>
          <w:rFonts w:hint="eastAsia" w:eastAsia="宋体" w:cs="Times New Roman"/>
          <w:color w:val="auto"/>
          <w:sz w:val="28"/>
          <w:szCs w:val="28"/>
        </w:rPr>
        <w:t>森林公园，如</w:t>
      </w:r>
      <w:r>
        <w:rPr>
          <w:rFonts w:hint="eastAsia" w:eastAsia="宋体" w:cs="Times New Roman"/>
          <w:color w:val="auto"/>
          <w:sz w:val="28"/>
          <w:szCs w:val="28"/>
          <w:lang w:val="en-US" w:eastAsia="zh-CN"/>
        </w:rPr>
        <w:t>森林</w:t>
      </w:r>
      <w:r>
        <w:rPr>
          <w:rFonts w:hint="eastAsia" w:eastAsia="宋体" w:cs="Times New Roman"/>
          <w:color w:val="auto"/>
          <w:sz w:val="28"/>
          <w:szCs w:val="28"/>
        </w:rPr>
        <w:t>穿越、自行车、定向越野</w:t>
      </w:r>
      <w:r>
        <w:rPr>
          <w:rFonts w:hint="eastAsia" w:eastAsia="宋体" w:cs="Times New Roman"/>
          <w:color w:val="auto"/>
          <w:sz w:val="28"/>
          <w:szCs w:val="28"/>
          <w:lang w:val="en-US" w:eastAsia="zh-CN"/>
        </w:rPr>
        <w:t>赛</w:t>
      </w:r>
      <w:r>
        <w:rPr>
          <w:rFonts w:hint="eastAsia" w:eastAsia="宋体" w:cs="Times New Roman"/>
          <w:color w:val="auto"/>
          <w:sz w:val="28"/>
          <w:szCs w:val="28"/>
        </w:rPr>
        <w:t>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w:t>
      </w:r>
      <w:r>
        <w:rPr>
          <w:rFonts w:hint="eastAsia" w:eastAsia="宋体" w:cs="Times New Roman"/>
          <w:color w:val="auto"/>
          <w:sz w:val="28"/>
          <w:szCs w:val="28"/>
        </w:rPr>
        <w:t>森林科普露营</w:t>
      </w:r>
      <w:r>
        <w:rPr>
          <w:rFonts w:hint="eastAsia" w:eastAsia="宋体" w:cs="Times New Roman"/>
          <w:color w:val="auto"/>
          <w:sz w:val="28"/>
          <w:szCs w:val="28"/>
          <w:lang w:val="en-US" w:eastAsia="zh-CN"/>
        </w:rPr>
        <w:t>活动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rPr>
        <w:t>开展森林</w:t>
      </w:r>
      <w:r>
        <w:rPr>
          <w:rFonts w:hint="eastAsia" w:eastAsia="宋体" w:cs="Times New Roman"/>
          <w:color w:val="auto"/>
          <w:sz w:val="28"/>
          <w:szCs w:val="28"/>
          <w:lang w:val="en-US" w:eastAsia="zh-CN"/>
        </w:rPr>
        <w:t>户外</w:t>
      </w:r>
      <w:r>
        <w:rPr>
          <w:rFonts w:hint="eastAsia" w:eastAsia="宋体" w:cs="Times New Roman"/>
          <w:color w:val="auto"/>
          <w:sz w:val="28"/>
          <w:szCs w:val="28"/>
        </w:rPr>
        <w:t>露营活动</w:t>
      </w:r>
      <w:r>
        <w:rPr>
          <w:rFonts w:hint="eastAsia" w:eastAsia="宋体" w:cs="Times New Roman"/>
          <w:color w:val="auto"/>
          <w:sz w:val="28"/>
          <w:szCs w:val="28"/>
          <w:lang w:eastAsia="zh-CN"/>
        </w:rPr>
        <w:t>，</w:t>
      </w:r>
      <w:r>
        <w:rPr>
          <w:rFonts w:hint="eastAsia" w:eastAsia="宋体" w:cs="Times New Roman"/>
          <w:color w:val="auto"/>
          <w:sz w:val="28"/>
          <w:szCs w:val="28"/>
        </w:rPr>
        <w:t>并</w:t>
      </w:r>
      <w:r>
        <w:rPr>
          <w:rFonts w:hint="eastAsia" w:eastAsia="宋体" w:cs="Times New Roman"/>
          <w:color w:val="auto"/>
          <w:sz w:val="28"/>
          <w:szCs w:val="28"/>
          <w:lang w:val="en-US" w:eastAsia="zh-CN"/>
        </w:rPr>
        <w:t>与</w:t>
      </w:r>
      <w:r>
        <w:rPr>
          <w:rFonts w:hint="eastAsia" w:eastAsia="宋体" w:cs="Times New Roman"/>
          <w:color w:val="auto"/>
          <w:sz w:val="28"/>
          <w:szCs w:val="28"/>
        </w:rPr>
        <w:t>森林科普教育</w:t>
      </w:r>
      <w:r>
        <w:rPr>
          <w:rFonts w:hint="eastAsia" w:eastAsia="宋体" w:cs="Times New Roman"/>
          <w:color w:val="auto"/>
          <w:sz w:val="28"/>
          <w:szCs w:val="28"/>
          <w:lang w:val="en-US" w:eastAsia="zh-CN"/>
        </w:rPr>
        <w:t>相</w:t>
      </w:r>
      <w:r>
        <w:rPr>
          <w:rFonts w:hint="eastAsia" w:eastAsia="宋体" w:cs="Times New Roman"/>
          <w:color w:val="auto"/>
          <w:sz w:val="28"/>
          <w:szCs w:val="28"/>
        </w:rPr>
        <w:t>结合</w:t>
      </w:r>
      <w:r>
        <w:rPr>
          <w:rFonts w:hint="eastAsia" w:eastAsia="宋体" w:cs="Times New Roman"/>
          <w:color w:val="auto"/>
          <w:sz w:val="28"/>
          <w:szCs w:val="28"/>
          <w:lang w:eastAsia="zh-CN"/>
        </w:rPr>
        <w:t>，</w:t>
      </w:r>
      <w:r>
        <w:rPr>
          <w:rFonts w:hint="eastAsia" w:eastAsia="宋体" w:cs="Times New Roman"/>
          <w:color w:val="auto"/>
          <w:sz w:val="28"/>
          <w:szCs w:val="28"/>
        </w:rPr>
        <w:t>开展森林认知、环境教育、亲子活动等项目</w:t>
      </w:r>
      <w:r>
        <w:rPr>
          <w:rFonts w:hint="eastAsia" w:eastAsia="宋体" w:cs="Times New Roman"/>
          <w:color w:val="auto"/>
          <w:sz w:val="28"/>
          <w:szCs w:val="28"/>
          <w:lang w:eastAsia="zh-CN"/>
        </w:rPr>
        <w:t>，</w:t>
      </w:r>
      <w:r>
        <w:rPr>
          <w:rFonts w:hint="eastAsia" w:eastAsia="宋体" w:cs="Times New Roman"/>
          <w:color w:val="auto"/>
          <w:sz w:val="28"/>
          <w:szCs w:val="28"/>
        </w:rPr>
        <w:t>把森林公园的生态保护、环境教育、生态旅游三大功能结合起来</w:t>
      </w:r>
      <w:r>
        <w:rPr>
          <w:rFonts w:hint="eastAsia" w:eastAsia="宋体" w:cs="Times New Roman"/>
          <w:color w:val="auto"/>
          <w:sz w:val="28"/>
          <w:szCs w:val="28"/>
          <w:lang w:eastAsia="zh-CN"/>
        </w:rPr>
        <w:t>，</w:t>
      </w:r>
      <w:r>
        <w:rPr>
          <w:rFonts w:hint="eastAsia" w:eastAsia="宋体" w:cs="Times New Roman"/>
          <w:color w:val="auto"/>
          <w:sz w:val="28"/>
          <w:szCs w:val="28"/>
          <w:lang w:val="en-US" w:eastAsia="zh-CN"/>
        </w:rPr>
        <w:t>提高</w:t>
      </w:r>
      <w:r>
        <w:rPr>
          <w:rFonts w:hint="eastAsia" w:eastAsia="宋体" w:cs="Times New Roman"/>
          <w:color w:val="auto"/>
          <w:sz w:val="28"/>
          <w:szCs w:val="28"/>
        </w:rPr>
        <w:t>公园的知名度</w:t>
      </w:r>
      <w:r>
        <w:rPr>
          <w:rFonts w:hint="eastAsia" w:eastAsia="宋体" w:cs="Times New Roman"/>
          <w:color w:val="auto"/>
          <w:sz w:val="28"/>
          <w:szCs w:val="28"/>
          <w:lang w:eastAsia="zh-CN"/>
        </w:rPr>
        <w:t>，</w:t>
      </w:r>
      <w:r>
        <w:rPr>
          <w:rFonts w:hint="eastAsia" w:eastAsia="宋体" w:cs="Times New Roman"/>
          <w:color w:val="auto"/>
          <w:sz w:val="28"/>
          <w:szCs w:val="28"/>
        </w:rPr>
        <w:t>促进公园三大效益的统</w:t>
      </w:r>
      <w:r>
        <w:rPr>
          <w:rFonts w:hint="eastAsia" w:eastAsia="宋体" w:cs="Times New Roman"/>
          <w:color w:val="auto"/>
          <w:sz w:val="28"/>
          <w:szCs w:val="28"/>
          <w:lang w:val="en-US" w:eastAsia="zh-CN"/>
        </w:rPr>
        <w:t>一。</w:t>
      </w:r>
    </w:p>
    <w:p>
      <w:pPr>
        <w:widowControl/>
        <w:adjustRightInd/>
        <w:snapToGrid/>
        <w:spacing w:line="240" w:lineRule="auto"/>
        <w:ind w:firstLine="0" w:firstLineChars="0"/>
        <w:jc w:val="left"/>
        <w:rPr>
          <w:rFonts w:eastAsia="黑体"/>
          <w:kern w:val="44"/>
          <w:sz w:val="44"/>
        </w:rPr>
      </w:pPr>
      <w: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104" w:name="_Toc9143"/>
      <w:r>
        <w:rPr>
          <w:rFonts w:hint="eastAsia" w:cs="Times New Roman"/>
          <w:b w:val="0"/>
          <w:bCs w:val="0"/>
          <w:i w:val="0"/>
          <w:iCs/>
          <w:color w:val="auto"/>
          <w:kern w:val="44"/>
          <w:szCs w:val="44"/>
        </w:rPr>
        <w:t>第十</w:t>
      </w:r>
      <w:r>
        <w:rPr>
          <w:rFonts w:hint="eastAsia" w:cs="Times New Roman"/>
          <w:b w:val="0"/>
          <w:bCs w:val="0"/>
          <w:i w:val="0"/>
          <w:iCs/>
          <w:color w:val="auto"/>
          <w:kern w:val="44"/>
          <w:szCs w:val="44"/>
          <w:lang w:val="en-US" w:eastAsia="zh-CN"/>
        </w:rPr>
        <w:t>一</w:t>
      </w:r>
      <w:r>
        <w:rPr>
          <w:rFonts w:hint="eastAsia" w:cs="Times New Roman"/>
          <w:b w:val="0"/>
          <w:bCs w:val="0"/>
          <w:i w:val="0"/>
          <w:iCs/>
          <w:color w:val="auto"/>
          <w:kern w:val="44"/>
          <w:szCs w:val="44"/>
        </w:rPr>
        <w:t>章 保障体系建设</w:t>
      </w:r>
      <w:bookmarkEnd w:id="104"/>
    </w:p>
    <w:p>
      <w:pPr>
        <w:pStyle w:val="3"/>
        <w:rPr>
          <w:rFonts w:hint="eastAsia"/>
          <w:lang w:val="en-US" w:eastAsia="zh-CN"/>
        </w:rPr>
      </w:pPr>
      <w:bookmarkStart w:id="105" w:name="_Toc18508"/>
      <w:r>
        <w:rPr>
          <w:rFonts w:hint="eastAsia"/>
          <w:lang w:val="en-US" w:eastAsia="zh-CN"/>
        </w:rPr>
        <w:t>第一节 保障体系与管理机构</w:t>
      </w:r>
      <w:bookmarkEnd w:id="105"/>
    </w:p>
    <w:p>
      <w:pPr>
        <w:pStyle w:val="4"/>
        <w:rPr>
          <w:rFonts w:hint="eastAsia" w:ascii="宋体" w:hAnsi="宋体" w:eastAsia="宋体" w:cs="宋体"/>
          <w:lang w:val="en-US" w:eastAsia="zh-CN"/>
        </w:rPr>
      </w:pPr>
      <w:r>
        <w:rPr>
          <w:rFonts w:hint="eastAsia" w:ascii="宋体" w:hAnsi="宋体" w:eastAsia="宋体" w:cs="宋体"/>
          <w:lang w:val="en-US" w:eastAsia="zh-CN"/>
        </w:rPr>
        <w:t>一、保障体系</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经河南省林业局同意，西凤省级森林公园成立森林公园管理机构，具体负责森林公园的森林及野生动植物保护、森林公园规划、建设和经营管理，省级森林公园建立后的隶属关系、林地权属、经营范围不变。</w:t>
      </w:r>
    </w:p>
    <w:p>
      <w:pPr>
        <w:pStyle w:val="4"/>
        <w:rPr>
          <w:rFonts w:hint="default" w:ascii="宋体" w:hAnsi="宋体" w:eastAsia="宋体" w:cs="宋体"/>
          <w:lang w:val="en-US" w:eastAsia="zh-CN"/>
        </w:rPr>
      </w:pPr>
      <w:r>
        <w:rPr>
          <w:rFonts w:hint="eastAsia" w:ascii="宋体" w:hAnsi="宋体" w:eastAsia="宋体" w:cs="宋体"/>
          <w:lang w:val="en-US" w:eastAsia="zh-CN"/>
        </w:rPr>
        <w:t>二、机构设置</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本着“精简机构、结构合理、运转协调、统一高效”的原则，公园成立西凤省级森林公园管理委员会，下设办公室、旅游科、生产科、计财科、林政科。</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办公室：负责旅游宣传、会务组织、文书档案、来客接待、机关后勤、股室协调等工作；</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旅游科：旅游接待，旅游咨询、服务、管理等；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生产科：造林绿化、美化，抚育管理，林产品开发，林业科学研究等；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计财科：财务管理，物资保管，预算决算，计划报表等；</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林政科：负责公园内的林政管理，及时处理林政案件，协调查处林业刑事案件，协调维护社会治安；兼管公园武装工作。</w:t>
      </w:r>
    </w:p>
    <w:p>
      <w:pPr>
        <w:pStyle w:val="3"/>
        <w:rPr>
          <w:rFonts w:hint="default"/>
          <w:lang w:val="en-US" w:eastAsia="zh-CN"/>
        </w:rPr>
      </w:pPr>
      <w:bookmarkStart w:id="106" w:name="_Toc12788"/>
      <w:r>
        <w:rPr>
          <w:rFonts w:hint="eastAsia"/>
          <w:lang w:val="en-US" w:eastAsia="zh-CN"/>
        </w:rPr>
        <w:t>第二节 人员编制</w:t>
      </w:r>
      <w:bookmarkEnd w:id="106"/>
    </w:p>
    <w:p>
      <w:pPr>
        <w:pStyle w:val="4"/>
        <w:rPr>
          <w:rFonts w:hint="eastAsia" w:ascii="宋体" w:hAnsi="宋体" w:eastAsia="宋体" w:cs="宋体"/>
          <w:lang w:val="en-US" w:eastAsia="zh-CN"/>
        </w:rPr>
      </w:pPr>
      <w:r>
        <w:rPr>
          <w:rFonts w:hint="eastAsia" w:ascii="宋体" w:hAnsi="宋体" w:eastAsia="宋体" w:cs="宋体"/>
          <w:lang w:val="en-US" w:eastAsia="zh-CN"/>
        </w:rPr>
        <w:t>一、编制依据</w:t>
      </w:r>
    </w:p>
    <w:p>
      <w:pPr>
        <w:widowControl/>
        <w:adjustRightInd/>
        <w:snapToGrid/>
        <w:spacing w:line="360" w:lineRule="auto"/>
        <w:ind w:firstLine="560" w:firstLineChars="0"/>
        <w:jc w:val="both"/>
        <w:rPr>
          <w:rFonts w:hint="default" w:eastAsia="宋体" w:cs="Times New Roman"/>
          <w:color w:val="auto"/>
          <w:sz w:val="28"/>
          <w:szCs w:val="28"/>
          <w:highlight w:val="none"/>
          <w:lang w:val="en-US" w:eastAsia="zh-CN"/>
        </w:rPr>
      </w:pPr>
      <w:r>
        <w:rPr>
          <w:rFonts w:hint="default" w:eastAsia="宋体" w:cs="Times New Roman"/>
          <w:color w:val="auto"/>
          <w:sz w:val="28"/>
          <w:szCs w:val="28"/>
          <w:highlight w:val="none"/>
          <w:lang w:val="en-US" w:eastAsia="zh-CN"/>
        </w:rPr>
        <w:t>根据河南省人事厅文件精神，充分考虑旅游服务的特点，结合森林公园的实际情况编制。</w:t>
      </w:r>
    </w:p>
    <w:p>
      <w:pPr>
        <w:pStyle w:val="4"/>
        <w:rPr>
          <w:rFonts w:hint="default" w:ascii="宋体" w:hAnsi="宋体" w:eastAsia="宋体" w:cs="宋体"/>
          <w:lang w:val="en-US" w:eastAsia="zh-CN"/>
        </w:rPr>
      </w:pPr>
      <w:r>
        <w:rPr>
          <w:rFonts w:hint="default" w:ascii="宋体" w:hAnsi="宋体" w:eastAsia="宋体" w:cs="宋体"/>
          <w:lang w:val="en-US" w:eastAsia="zh-CN"/>
        </w:rPr>
        <w:t>二、编制原则</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default" w:eastAsia="宋体" w:cs="Times New Roman"/>
          <w:color w:val="auto"/>
          <w:sz w:val="28"/>
          <w:szCs w:val="28"/>
          <w:lang w:val="en-US" w:eastAsia="zh-CN"/>
        </w:rPr>
        <w:t>最大限度地压缩非生产人员，保证生产第</w:t>
      </w:r>
      <w:r>
        <w:rPr>
          <w:rFonts w:hint="eastAsia" w:eastAsia="宋体" w:cs="Times New Roman"/>
          <w:color w:val="auto"/>
          <w:sz w:val="28"/>
          <w:szCs w:val="28"/>
          <w:lang w:val="en-US" w:eastAsia="zh-CN"/>
        </w:rPr>
        <w:t>一</w:t>
      </w:r>
      <w:r>
        <w:rPr>
          <w:rFonts w:hint="default" w:eastAsia="宋体" w:cs="Times New Roman"/>
          <w:color w:val="auto"/>
          <w:sz w:val="28"/>
          <w:szCs w:val="28"/>
          <w:lang w:val="en-US" w:eastAsia="zh-CN"/>
        </w:rPr>
        <w:t>线人员</w:t>
      </w:r>
      <w:r>
        <w:rPr>
          <w:rFonts w:hint="eastAsia" w:eastAsia="宋体" w:cs="Times New Roman"/>
          <w:color w:val="auto"/>
          <w:sz w:val="28"/>
          <w:szCs w:val="28"/>
          <w:lang w:val="en-US" w:eastAsia="zh-CN"/>
        </w:rPr>
        <w:t>。</w:t>
      </w:r>
      <w:r>
        <w:rPr>
          <w:rFonts w:hint="default" w:eastAsia="宋体" w:cs="Times New Roman"/>
          <w:color w:val="auto"/>
          <w:sz w:val="28"/>
          <w:szCs w:val="28"/>
          <w:lang w:val="en-US" w:eastAsia="zh-CN"/>
        </w:rPr>
        <w:t>公园内的服务接待行业可实行承包或招聘合同制工人的方式经营。林业生产及绿化美化可采用季节性临时工</w:t>
      </w:r>
      <w:r>
        <w:rPr>
          <w:rFonts w:hint="eastAsia" w:eastAsia="宋体" w:cs="Times New Roman"/>
          <w:color w:val="auto"/>
          <w:sz w:val="28"/>
          <w:szCs w:val="28"/>
          <w:lang w:val="en-US" w:eastAsia="zh-CN"/>
        </w:rPr>
        <w:t>，可</w:t>
      </w:r>
      <w:r>
        <w:rPr>
          <w:rFonts w:hint="default" w:eastAsia="宋体" w:cs="Times New Roman"/>
          <w:color w:val="auto"/>
          <w:sz w:val="28"/>
          <w:szCs w:val="28"/>
          <w:lang w:val="en-US" w:eastAsia="zh-CN"/>
        </w:rPr>
        <w:t>优先安排林场职工及其子女。</w:t>
      </w:r>
    </w:p>
    <w:p>
      <w:pPr>
        <w:pStyle w:val="4"/>
        <w:rPr>
          <w:rFonts w:hint="default" w:ascii="宋体" w:hAnsi="宋体" w:eastAsia="宋体" w:cs="宋体"/>
          <w:lang w:val="en-US" w:eastAsia="zh-CN"/>
        </w:rPr>
      </w:pPr>
      <w:r>
        <w:rPr>
          <w:rFonts w:hint="default" w:ascii="宋体" w:hAnsi="宋体" w:eastAsia="宋体" w:cs="宋体"/>
          <w:lang w:val="en-US" w:eastAsia="zh-CN"/>
        </w:rPr>
        <w:t>三、人员编制</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西凤森林公园管理委员会目前有管理人员11人，林木养护临时工100余人，现有的人员编制不足以满足森林公园的日益发展，因而需要进行进一步规划。</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default" w:eastAsia="宋体" w:cs="Times New Roman"/>
          <w:color w:val="auto"/>
          <w:sz w:val="28"/>
          <w:szCs w:val="28"/>
          <w:lang w:val="en-US" w:eastAsia="zh-CN"/>
        </w:rPr>
        <w:t>公园管理</w:t>
      </w:r>
      <w:r>
        <w:rPr>
          <w:rFonts w:hint="eastAsia" w:eastAsia="宋体" w:cs="Times New Roman"/>
          <w:color w:val="auto"/>
          <w:sz w:val="28"/>
          <w:szCs w:val="28"/>
          <w:lang w:val="en-US" w:eastAsia="zh-CN"/>
        </w:rPr>
        <w:t>委员会规划设置</w:t>
      </w:r>
      <w:r>
        <w:rPr>
          <w:rFonts w:hint="default" w:eastAsia="宋体" w:cs="Times New Roman"/>
          <w:color w:val="auto"/>
          <w:sz w:val="28"/>
          <w:szCs w:val="28"/>
          <w:lang w:val="en-US" w:eastAsia="zh-CN"/>
        </w:rPr>
        <w:t>定员</w:t>
      </w:r>
      <w:r>
        <w:rPr>
          <w:rFonts w:hint="eastAsia" w:eastAsia="宋体" w:cs="Times New Roman"/>
          <w:color w:val="auto"/>
          <w:sz w:val="28"/>
          <w:szCs w:val="28"/>
          <w:lang w:val="en-US" w:eastAsia="zh-CN"/>
        </w:rPr>
        <w:t>25</w:t>
      </w:r>
      <w:r>
        <w:rPr>
          <w:rFonts w:hint="default" w:eastAsia="宋体" w:cs="Times New Roman"/>
          <w:color w:val="auto"/>
          <w:sz w:val="28"/>
          <w:szCs w:val="28"/>
          <w:lang w:val="en-US" w:eastAsia="zh-CN"/>
        </w:rPr>
        <w:t>人，在定额人员中，直接服务人员</w:t>
      </w:r>
      <w:r>
        <w:rPr>
          <w:rFonts w:hint="eastAsia" w:eastAsia="宋体" w:cs="Times New Roman"/>
          <w:color w:val="auto"/>
          <w:sz w:val="28"/>
          <w:szCs w:val="28"/>
          <w:lang w:val="en-US" w:eastAsia="zh-CN"/>
        </w:rPr>
        <w:t>17</w:t>
      </w:r>
      <w:r>
        <w:rPr>
          <w:rFonts w:hint="default" w:eastAsia="宋体" w:cs="Times New Roman"/>
          <w:color w:val="auto"/>
          <w:sz w:val="28"/>
          <w:szCs w:val="28"/>
          <w:lang w:val="en-US" w:eastAsia="zh-CN"/>
        </w:rPr>
        <w:t>人，占</w:t>
      </w:r>
      <w:r>
        <w:rPr>
          <w:rFonts w:hint="eastAsia" w:eastAsia="宋体" w:cs="Times New Roman"/>
          <w:color w:val="auto"/>
          <w:sz w:val="28"/>
          <w:szCs w:val="28"/>
          <w:lang w:val="en-US" w:eastAsia="zh-CN"/>
        </w:rPr>
        <w:t>68</w:t>
      </w:r>
      <w:r>
        <w:rPr>
          <w:rFonts w:hint="default" w:eastAsia="宋体" w:cs="Times New Roman"/>
          <w:color w:val="auto"/>
          <w:sz w:val="28"/>
          <w:szCs w:val="28"/>
          <w:lang w:val="en-US" w:eastAsia="zh-CN"/>
        </w:rPr>
        <w:t>%</w:t>
      </w:r>
      <w:r>
        <w:rPr>
          <w:rFonts w:hint="eastAsia" w:eastAsia="宋体" w:cs="Times New Roman"/>
          <w:color w:val="auto"/>
          <w:sz w:val="28"/>
          <w:szCs w:val="28"/>
          <w:lang w:val="en-US" w:eastAsia="zh-CN"/>
        </w:rPr>
        <w:t>；</w:t>
      </w:r>
      <w:r>
        <w:rPr>
          <w:rFonts w:hint="default" w:eastAsia="宋体" w:cs="Times New Roman"/>
          <w:color w:val="auto"/>
          <w:sz w:val="28"/>
          <w:szCs w:val="28"/>
          <w:lang w:val="en-US" w:eastAsia="zh-CN"/>
        </w:rPr>
        <w:t>间接服务人员</w:t>
      </w:r>
      <w:r>
        <w:rPr>
          <w:rFonts w:hint="eastAsia" w:eastAsia="宋体" w:cs="Times New Roman"/>
          <w:color w:val="auto"/>
          <w:sz w:val="28"/>
          <w:szCs w:val="28"/>
          <w:lang w:val="en-US" w:eastAsia="zh-CN"/>
        </w:rPr>
        <w:t>8</w:t>
      </w:r>
      <w:r>
        <w:rPr>
          <w:rFonts w:hint="default" w:eastAsia="宋体" w:cs="Times New Roman"/>
          <w:color w:val="auto"/>
          <w:sz w:val="28"/>
          <w:szCs w:val="28"/>
          <w:lang w:val="en-US" w:eastAsia="zh-CN"/>
        </w:rPr>
        <w:t>人，占</w:t>
      </w:r>
      <w:r>
        <w:rPr>
          <w:rFonts w:hint="eastAsia" w:eastAsia="宋体" w:cs="Times New Roman"/>
          <w:color w:val="auto"/>
          <w:sz w:val="28"/>
          <w:szCs w:val="28"/>
          <w:lang w:val="en-US" w:eastAsia="zh-CN"/>
        </w:rPr>
        <w:t>32</w:t>
      </w:r>
      <w:r>
        <w:rPr>
          <w:rFonts w:hint="default" w:eastAsia="宋体" w:cs="Times New Roman"/>
          <w:color w:val="auto"/>
          <w:sz w:val="28"/>
          <w:szCs w:val="28"/>
          <w:lang w:val="en-US" w:eastAsia="zh-CN"/>
        </w:rPr>
        <w:t>%</w:t>
      </w:r>
      <w:r>
        <w:rPr>
          <w:rFonts w:hint="eastAsia" w:eastAsia="宋体" w:cs="Times New Roman"/>
          <w:color w:val="auto"/>
          <w:sz w:val="28"/>
          <w:szCs w:val="28"/>
          <w:lang w:val="en-US" w:eastAsia="zh-CN"/>
        </w:rPr>
        <w:t>，</w:t>
      </w:r>
      <w:r>
        <w:rPr>
          <w:rFonts w:hint="default" w:eastAsia="宋体" w:cs="Times New Roman"/>
          <w:color w:val="auto"/>
          <w:sz w:val="28"/>
          <w:szCs w:val="28"/>
          <w:lang w:val="en-US" w:eastAsia="zh-CN"/>
        </w:rPr>
        <w:t>详见表1</w:t>
      </w:r>
      <w:r>
        <w:rPr>
          <w:rFonts w:hint="eastAsia" w:eastAsia="宋体" w:cs="Times New Roman"/>
          <w:color w:val="auto"/>
          <w:sz w:val="28"/>
          <w:szCs w:val="28"/>
          <w:lang w:val="en-US" w:eastAsia="zh-CN"/>
        </w:rPr>
        <w:t>1-</w:t>
      </w:r>
      <w:r>
        <w:rPr>
          <w:rFonts w:hint="default" w:eastAsia="宋体" w:cs="Times New Roman"/>
          <w:color w:val="auto"/>
          <w:sz w:val="28"/>
          <w:szCs w:val="28"/>
          <w:lang w:val="en-US" w:eastAsia="zh-CN"/>
        </w:rPr>
        <w:t>1。</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其中旅游科导游和林政科保安可采用合同制工人或者兼职，导游必须持证上岗，同时要定期对旅游管理、导游、接待、服务等人员开展业务培训。</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default" w:eastAsia="宋体" w:cs="Times New Roman"/>
          <w:color w:val="auto"/>
          <w:sz w:val="28"/>
          <w:szCs w:val="28"/>
          <w:lang w:val="en-US" w:eastAsia="zh-CN"/>
        </w:rPr>
      </w:pPr>
    </w:p>
    <w:p>
      <w:pPr>
        <w:widowControl/>
        <w:adjustRightInd/>
        <w:snapToGrid/>
        <w:spacing w:line="360" w:lineRule="auto"/>
        <w:ind w:firstLine="480" w:firstLineChars="0"/>
        <w:jc w:val="center"/>
        <w:rPr>
          <w:rFonts w:hint="eastAsia" w:ascii="黑体" w:hAnsi="黑体" w:eastAsia="黑体" w:cs="Times New Roman"/>
          <w:color w:val="auto"/>
          <w:sz w:val="24"/>
          <w:lang w:val="en-US" w:eastAsia="zh-CN"/>
        </w:rPr>
      </w:pPr>
      <w:r>
        <w:rPr>
          <w:rFonts w:hint="eastAsia" w:ascii="黑体" w:hAnsi="黑体" w:eastAsia="黑体" w:cs="Times New Roman"/>
          <w:color w:val="auto"/>
          <w:sz w:val="24"/>
        </w:rPr>
        <w:t>表</w:t>
      </w:r>
      <w:r>
        <w:rPr>
          <w:rFonts w:hint="eastAsia" w:ascii="黑体" w:hAnsi="黑体" w:eastAsia="黑体" w:cs="Times New Roman"/>
          <w:color w:val="auto"/>
          <w:sz w:val="24"/>
          <w:lang w:val="en-US" w:eastAsia="zh-CN"/>
        </w:rPr>
        <w:t>11</w:t>
      </w:r>
      <w:r>
        <w:rPr>
          <w:rFonts w:hint="eastAsia" w:ascii="黑体" w:hAnsi="黑体" w:eastAsia="黑体" w:cs="Times New Roman"/>
          <w:color w:val="auto"/>
          <w:sz w:val="24"/>
        </w:rPr>
        <w:t>-</w:t>
      </w:r>
      <w:r>
        <w:rPr>
          <w:rFonts w:hint="eastAsia" w:ascii="黑体" w:hAnsi="黑体" w:eastAsia="黑体" w:cs="Times New Roman"/>
          <w:color w:val="auto"/>
          <w:sz w:val="24"/>
          <w:lang w:val="en-US" w:eastAsia="zh-CN"/>
        </w:rPr>
        <w:t>1</w:t>
      </w:r>
      <w:r>
        <w:rPr>
          <w:rFonts w:hint="eastAsia" w:ascii="黑体" w:hAnsi="黑体" w:eastAsia="黑体" w:cs="Times New Roman"/>
          <w:color w:val="auto"/>
          <w:sz w:val="24"/>
        </w:rPr>
        <w:t xml:space="preserve">  </w:t>
      </w:r>
      <w:r>
        <w:rPr>
          <w:rFonts w:hint="eastAsia" w:ascii="黑体" w:hAnsi="黑体" w:eastAsia="黑体" w:cs="Times New Roman"/>
          <w:color w:val="auto"/>
          <w:sz w:val="24"/>
          <w:lang w:val="en-US" w:eastAsia="zh-CN"/>
        </w:rPr>
        <w:t>西凤省级森林公园规划人员编制表  单位：人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200"/>
        <w:gridCol w:w="1092"/>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59"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机构/人员</w:t>
            </w:r>
          </w:p>
        </w:tc>
        <w:tc>
          <w:tcPr>
            <w:tcW w:w="1200"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管理人员</w:t>
            </w:r>
          </w:p>
        </w:tc>
        <w:tc>
          <w:tcPr>
            <w:tcW w:w="1092"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导游</w:t>
            </w:r>
          </w:p>
        </w:tc>
        <w:tc>
          <w:tcPr>
            <w:tcW w:w="1217"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林业生产</w:t>
            </w:r>
          </w:p>
        </w:tc>
        <w:tc>
          <w:tcPr>
            <w:tcW w:w="1218"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其他</w:t>
            </w:r>
          </w:p>
        </w:tc>
        <w:tc>
          <w:tcPr>
            <w:tcW w:w="1218"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管理处</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办公室</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1</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旅游科</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7</w:t>
            </w: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生产科</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1</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4</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计财科</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1</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林政科</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1</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59"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合计</w:t>
            </w:r>
          </w:p>
        </w:tc>
        <w:tc>
          <w:tcPr>
            <w:tcW w:w="1200"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8</w:t>
            </w:r>
          </w:p>
        </w:tc>
        <w:tc>
          <w:tcPr>
            <w:tcW w:w="1092"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7</w:t>
            </w:r>
          </w:p>
        </w:tc>
        <w:tc>
          <w:tcPr>
            <w:tcW w:w="1217"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4</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6</w:t>
            </w:r>
          </w:p>
        </w:tc>
        <w:tc>
          <w:tcPr>
            <w:tcW w:w="1218" w:type="dxa"/>
            <w:vAlign w:val="center"/>
          </w:tcPr>
          <w:p>
            <w:pPr>
              <w:widowControl/>
              <w:adjustRightInd/>
              <w:snapToGrid/>
              <w:spacing w:line="240" w:lineRule="auto"/>
              <w:ind w:firstLine="0" w:firstLineChars="0"/>
              <w:jc w:val="center"/>
              <w:rPr>
                <w:rFonts w:hint="default" w:eastAsia="宋体" w:cs="Times New Roman"/>
                <w:color w:val="auto"/>
                <w:sz w:val="21"/>
                <w:lang w:val="en-US" w:eastAsia="zh-CN"/>
              </w:rPr>
            </w:pPr>
            <w:r>
              <w:rPr>
                <w:rFonts w:hint="default" w:eastAsia="宋体" w:cs="Times New Roman"/>
                <w:color w:val="auto"/>
                <w:sz w:val="21"/>
                <w:lang w:val="en-US" w:eastAsia="zh-CN"/>
              </w:rPr>
              <w:t>25</w:t>
            </w:r>
          </w:p>
        </w:tc>
      </w:tr>
    </w:tbl>
    <w:p>
      <w:pPr>
        <w:rPr>
          <w:rFonts w:hint="default"/>
          <w:lang w:val="en-US" w:eastAsia="zh-CN"/>
        </w:rPr>
      </w:pPr>
    </w:p>
    <w:p>
      <w:pPr>
        <w:pStyle w:val="4"/>
        <w:rPr>
          <w:rFonts w:hint="default" w:ascii="宋体" w:hAnsi="宋体" w:eastAsia="宋体" w:cs="宋体"/>
          <w:lang w:val="en-US" w:eastAsia="zh-CN"/>
        </w:rPr>
      </w:pPr>
      <w:r>
        <w:rPr>
          <w:rFonts w:hint="eastAsia" w:ascii="宋体" w:hAnsi="宋体" w:eastAsia="宋体" w:cs="宋体"/>
          <w:lang w:val="en-US" w:eastAsia="zh-CN"/>
        </w:rPr>
        <w:t>四</w:t>
      </w:r>
      <w:r>
        <w:rPr>
          <w:rFonts w:hint="default" w:ascii="宋体" w:hAnsi="宋体" w:eastAsia="宋体" w:cs="宋体"/>
          <w:lang w:val="en-US" w:eastAsia="zh-CN"/>
        </w:rPr>
        <w:t>、人员</w:t>
      </w:r>
      <w:r>
        <w:rPr>
          <w:rFonts w:hint="eastAsia" w:ascii="宋体" w:hAnsi="宋体" w:eastAsia="宋体" w:cs="宋体"/>
          <w:lang w:val="en-US" w:eastAsia="zh-CN"/>
        </w:rPr>
        <w:t>培训</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森林旅游是一项新兴的朝阳产业，国际旅游组织提出：高素质的员工，高质量的旅游。西凤森林公园后期建设游管理人才奇缺，远远不能适应市场经济条件下的森林旅游业的发展需求，因此必须做好以下几点：</w:t>
      </w:r>
    </w:p>
    <w:p>
      <w:pPr>
        <w:pStyle w:val="42"/>
        <w:widowControl/>
        <w:adjustRightInd/>
        <w:snapToGrid/>
        <w:spacing w:before="120" w:beforeLines="50" w:line="360" w:lineRule="auto"/>
        <w:ind w:firstLine="562" w:firstLineChars="0"/>
        <w:jc w:val="both"/>
        <w:outlineLvl w:val="3"/>
        <w:rPr>
          <w:rFonts w:hint="default" w:eastAsia="楷体" w:cs="Times New Roman"/>
          <w:b/>
          <w:bCs/>
          <w:color w:val="auto"/>
          <w:sz w:val="28"/>
          <w:szCs w:val="28"/>
          <w:lang w:val="en-US" w:eastAsia="zh-CN"/>
        </w:rPr>
      </w:pPr>
      <w:r>
        <w:rPr>
          <w:rFonts w:hint="eastAsia" w:eastAsia="楷体" w:cs="Times New Roman"/>
          <w:b/>
          <w:bCs/>
          <w:color w:val="auto"/>
          <w:sz w:val="28"/>
          <w:szCs w:val="28"/>
          <w:lang w:val="en-US" w:eastAsia="zh-CN"/>
        </w:rPr>
        <w:t>（一）积极引进人才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要积极营造吸引人才、使用人才的社会氛围和政策环境。加强与周边森林公园、旅游区和旅游高等院校的人才交流和合作，选派有培养前途的管理人员委托培养或继续深造。</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（二）全面提高员工素质</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加强职工培训，提高员工思想、文化和业务素质，实行“就业前培训、换岗前培训、上岗后再培训”。本着“重点培养、急用先学、积极引进、普遍提高”的原则，重点抓好旅游管理、导游、接待、服务等人才的业务培训。</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（三）积极开展各种技能竞赛</w:t>
      </w:r>
    </w:p>
    <w:p>
      <w:pPr>
        <w:widowControl/>
        <w:adjustRightInd/>
        <w:snapToGrid/>
        <w:spacing w:line="240" w:lineRule="auto"/>
        <w:ind w:firstLine="560" w:firstLineChars="200"/>
        <w:jc w:val="left"/>
        <w:rPr>
          <w:rFonts w:eastAsia="黑体"/>
          <w:kern w:val="44"/>
          <w:sz w:val="44"/>
        </w:rPr>
      </w:pPr>
      <w:r>
        <w:rPr>
          <w:rFonts w:hint="eastAsia" w:eastAsia="宋体" w:cs="Times New Roman"/>
          <w:color w:val="auto"/>
          <w:sz w:val="28"/>
          <w:szCs w:val="28"/>
          <w:lang w:val="en-US" w:eastAsia="zh-CN"/>
        </w:rPr>
        <w:t>积极引进先进国家和先进森林公园的管理经验，经常组织职工开展文明礼貌服务、旅游知识竞赛活动；对专业技能优秀的员工给予各种奖励和荣誉称号；激发员工爱岗敬业的积极性，不断提高森林旅游的管理、服务水平；提高经济效益。</w:t>
      </w:r>
      <w:r>
        <w:br w:type="page"/>
      </w:r>
    </w:p>
    <w:p>
      <w:pPr>
        <w:pStyle w:val="41"/>
        <w:keepNext w:val="0"/>
        <w:keepLines w:val="0"/>
        <w:pageBreakBefore/>
        <w:widowControl/>
        <w:adjustRightInd w:val="0"/>
        <w:snapToGrid w:val="0"/>
        <w:spacing w:before="240" w:beforeLines="100" w:after="0" w:afterLines="0" w:line="360" w:lineRule="auto"/>
        <w:ind w:firstLine="0" w:firstLineChars="0"/>
        <w:rPr>
          <w:rFonts w:hint="eastAsia" w:cs="Times New Roman"/>
          <w:b w:val="0"/>
          <w:bCs w:val="0"/>
          <w:i w:val="0"/>
          <w:iCs/>
          <w:color w:val="auto"/>
          <w:kern w:val="44"/>
          <w:szCs w:val="44"/>
        </w:rPr>
      </w:pPr>
      <w:bookmarkStart w:id="107" w:name="_Toc16498"/>
      <w:r>
        <w:rPr>
          <w:rFonts w:hint="eastAsia" w:cs="Times New Roman"/>
          <w:b w:val="0"/>
          <w:bCs w:val="0"/>
          <w:i w:val="0"/>
          <w:iCs/>
          <w:color w:val="auto"/>
          <w:kern w:val="44"/>
          <w:szCs w:val="44"/>
        </w:rPr>
        <w:t>第十</w:t>
      </w:r>
      <w:r>
        <w:rPr>
          <w:rFonts w:hint="eastAsia" w:cs="Times New Roman"/>
          <w:b w:val="0"/>
          <w:bCs w:val="0"/>
          <w:i w:val="0"/>
          <w:iCs/>
          <w:color w:val="auto"/>
          <w:kern w:val="44"/>
          <w:szCs w:val="44"/>
          <w:lang w:val="en-US" w:eastAsia="zh-CN"/>
        </w:rPr>
        <w:t>二</w:t>
      </w:r>
      <w:r>
        <w:rPr>
          <w:rFonts w:hint="eastAsia" w:cs="Times New Roman"/>
          <w:b w:val="0"/>
          <w:bCs w:val="0"/>
          <w:i w:val="0"/>
          <w:iCs/>
          <w:color w:val="auto"/>
          <w:kern w:val="44"/>
          <w:szCs w:val="44"/>
        </w:rPr>
        <w:t>章 投资估算与效益分析</w:t>
      </w:r>
      <w:bookmarkEnd w:id="107"/>
    </w:p>
    <w:p>
      <w:pPr>
        <w:pStyle w:val="3"/>
        <w:rPr>
          <w:rFonts w:hint="eastAsia"/>
          <w:lang w:val="en-US" w:eastAsia="zh-CN"/>
        </w:rPr>
      </w:pPr>
      <w:bookmarkStart w:id="108" w:name="_Toc516229756"/>
      <w:bookmarkStart w:id="109" w:name="_Toc32135"/>
      <w:r>
        <w:rPr>
          <w:rFonts w:hint="eastAsia"/>
          <w:lang w:val="en-US" w:eastAsia="zh-CN"/>
        </w:rPr>
        <w:t>第一节 估算依据</w:t>
      </w:r>
      <w:bookmarkEnd w:id="108"/>
      <w:bookmarkEnd w:id="109"/>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根据国家林业局关于建设项目投资估算编制的规定，结合河南省及当地相关行业技术经济指标，对台前县西凤省级森林公园建设及发展旅游投资进行全面估算。主要估算依据有：</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（1）国家林业局《林业固定资产投资建设项目管理办法》（第36号令，2015.5.1）；</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（2）《河南省市政工程消耗量定额》（HAA1-31-2016）；</w:t>
      </w:r>
    </w:p>
    <w:p>
      <w:pPr>
        <w:widowControl/>
        <w:adjustRightInd/>
        <w:snapToGrid/>
        <w:spacing w:line="240" w:lineRule="auto"/>
        <w:ind w:firstLine="560" w:firstLineChars="200"/>
        <w:jc w:val="left"/>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（3）河南省住房和城乡建设厅《河南省工程造价信息管理办法》（豫建设标〔2016〕3号）；</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（4）《河南省建设工程工程量清单综合单价（2008）》；</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（5）《河南省房屋建筑与装饰工程预算定额（2016）》；</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（6）濮阳市主要设备和原材料市场价格。</w:t>
      </w:r>
    </w:p>
    <w:p>
      <w:pPr>
        <w:pStyle w:val="3"/>
        <w:rPr>
          <w:rFonts w:hint="eastAsia"/>
          <w:lang w:val="en-US" w:eastAsia="zh-CN"/>
        </w:rPr>
      </w:pPr>
      <w:bookmarkStart w:id="110" w:name="_Toc27599"/>
      <w:r>
        <w:rPr>
          <w:rFonts w:hint="eastAsia"/>
          <w:lang w:val="en-US" w:eastAsia="zh-CN"/>
        </w:rPr>
        <w:t>第二节 投资估算</w:t>
      </w:r>
      <w:bookmarkEnd w:id="110"/>
    </w:p>
    <w:p>
      <w:pPr>
        <w:pStyle w:val="4"/>
        <w:rPr>
          <w:rFonts w:hint="eastAsia" w:ascii="宋体" w:hAnsi="宋体" w:eastAsia="宋体" w:cs="宋体"/>
          <w:lang w:val="en-US" w:eastAsia="zh-CN"/>
        </w:rPr>
      </w:pPr>
      <w:r>
        <w:rPr>
          <w:rFonts w:hint="eastAsia" w:ascii="宋体" w:hAnsi="宋体" w:eastAsia="宋体" w:cs="宋体"/>
          <w:lang w:val="en-US" w:eastAsia="zh-CN"/>
        </w:rPr>
        <w:t>一、估算说明</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1.根据项目建设期限，估算年限为10年，即2021～2030年。</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2.建设投资构成为工程费用、其他费用和预备费用。</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3.基础设施工程，根据当地同类工程实际造价确定。</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4.其他费用：</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（1）咨询费：按国家计委《建设项目近期工程咨询收费暂行规定》（计［1999］1283号）执行；</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（2）勘察设计费：按国家计委、建设部《工程勘察设计收费管理规定》（计价格）［2002］10号）执行；</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（3）招投标费：按国家计委《招标代理服务收费管理办法》（计价格）［2002］10号）执行；</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（4）工程监理费：按国家发改委、建设部《建设工程监理与相关服务收费管理规定》（计价格）［2007］670号）执行；</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工程咨询费、建设管理费、勘察设计费、工程监理费、招投标费、环境影响评价费分别按照工程费用的2%、2%、3%、1%、1%、2.5%计算。</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5.基本预备费按工程费用和工程建设其他费用总和的5%计算。</w:t>
      </w:r>
    </w:p>
    <w:p>
      <w:pPr>
        <w:pStyle w:val="4"/>
        <w:rPr>
          <w:rFonts w:hint="eastAsia" w:ascii="宋体" w:hAnsi="宋体" w:eastAsia="宋体" w:cs="宋体"/>
          <w:lang w:val="en-US" w:eastAsia="zh-CN"/>
        </w:rPr>
      </w:pPr>
      <w:r>
        <w:rPr>
          <w:rFonts w:hint="eastAsia" w:ascii="宋体" w:hAnsi="宋体" w:eastAsia="宋体" w:cs="宋体"/>
          <w:lang w:val="en-US" w:eastAsia="zh-CN"/>
        </w:rPr>
        <w:t>二、投资估算</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根据本规划，规划期内总投资12265.3万元，近期投资8630. 93万元，占总投资的70.37%，远期投资3634.37万元，占总投资的29.63%详见表12-1及附表。</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p>
    <w:p>
      <w:pPr>
        <w:widowControl/>
        <w:adjustRightInd/>
        <w:snapToGrid/>
        <w:spacing w:line="360" w:lineRule="auto"/>
        <w:ind w:firstLine="480" w:firstLineChars="0"/>
        <w:jc w:val="center"/>
        <w:rPr>
          <w:rFonts w:hint="eastAsia" w:ascii="黑体" w:hAnsi="黑体" w:eastAsia="黑体" w:cs="Times New Roman"/>
          <w:color w:val="auto"/>
          <w:sz w:val="24"/>
          <w:lang w:val="en-US" w:eastAsia="zh-CN"/>
        </w:rPr>
      </w:pPr>
      <w:r>
        <w:rPr>
          <w:rFonts w:hint="eastAsia" w:ascii="黑体" w:hAnsi="黑体" w:eastAsia="黑体" w:cs="Times New Roman"/>
          <w:color w:val="auto"/>
          <w:sz w:val="24"/>
        </w:rPr>
        <w:t>表</w:t>
      </w:r>
      <w:r>
        <w:rPr>
          <w:rFonts w:hint="eastAsia" w:ascii="黑体" w:hAnsi="黑体" w:eastAsia="黑体" w:cs="Times New Roman"/>
          <w:color w:val="auto"/>
          <w:sz w:val="24"/>
          <w:lang w:val="en-US" w:eastAsia="zh-CN"/>
        </w:rPr>
        <w:t>12</w:t>
      </w:r>
      <w:r>
        <w:rPr>
          <w:rFonts w:hint="eastAsia" w:ascii="黑体" w:hAnsi="黑体" w:eastAsia="黑体" w:cs="Times New Roman"/>
          <w:color w:val="auto"/>
          <w:sz w:val="24"/>
        </w:rPr>
        <w:t>-</w:t>
      </w:r>
      <w:r>
        <w:rPr>
          <w:rFonts w:hint="eastAsia" w:ascii="黑体" w:hAnsi="黑体" w:eastAsia="黑体" w:cs="Times New Roman"/>
          <w:color w:val="auto"/>
          <w:sz w:val="24"/>
          <w:lang w:val="en-US" w:eastAsia="zh-CN"/>
        </w:rPr>
        <w:t>1</w:t>
      </w:r>
      <w:r>
        <w:rPr>
          <w:rFonts w:hint="eastAsia" w:ascii="黑体" w:hAnsi="黑体" w:eastAsia="黑体" w:cs="Times New Roman"/>
          <w:color w:val="auto"/>
          <w:sz w:val="24"/>
        </w:rPr>
        <w:t xml:space="preserve">  </w:t>
      </w:r>
      <w:r>
        <w:rPr>
          <w:rFonts w:hint="eastAsia" w:ascii="黑体" w:hAnsi="黑体" w:eastAsia="黑体" w:cs="Times New Roman"/>
          <w:color w:val="auto"/>
          <w:sz w:val="24"/>
          <w:lang w:val="en-US" w:eastAsia="zh-CN"/>
        </w:rPr>
        <w:t>西凤省级森林公园投资估算汇总表  单位：万元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535"/>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建设项目</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投资额</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近期投资</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远期投资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总投资</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12265.30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8630.93</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3634.37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A</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工程费用</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10476.45</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7378.74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3097.71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景点建设工程</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1332.60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621.04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基础设施工程</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6055.00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4728.00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服务设施工程</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323.20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191.44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植物景观工程</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935.65</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374.26</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保护工程</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1830.00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1464.00</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B</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工程建设其他费用</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1204.79</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843.35</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361.44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工程咨询费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209.53</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146.67</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建设单位管理费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209.53</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146.67</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勘察设计费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314.29</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220.01</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工程监理费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104.76</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73.34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招投标费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104.76</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73.34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val="0"/>
                <w:bCs w:val="0"/>
                <w:sz w:val="21"/>
                <w:szCs w:val="21"/>
                <w:lang w:val="en-US" w:eastAsia="zh-CN"/>
              </w:rPr>
            </w:pP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环境影响评价费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261.91</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183.34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73"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C</w:t>
            </w:r>
          </w:p>
        </w:tc>
        <w:tc>
          <w:tcPr>
            <w:tcW w:w="253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基本预备费</w:t>
            </w:r>
          </w:p>
        </w:tc>
        <w:tc>
          <w:tcPr>
            <w:tcW w:w="1704"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584.06</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408.84</w:t>
            </w:r>
          </w:p>
        </w:tc>
        <w:tc>
          <w:tcPr>
            <w:tcW w:w="1705" w:type="dxa"/>
            <w:vAlign w:val="center"/>
          </w:tcPr>
          <w:p>
            <w:pPr>
              <w:adjustRightInd/>
              <w:snapToGrid/>
              <w:spacing w:line="240" w:lineRule="auto"/>
              <w:ind w:firstLine="0" w:firstLine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175.22</w:t>
            </w:r>
          </w:p>
        </w:tc>
      </w:tr>
    </w:tbl>
    <w:p>
      <w:pPr>
        <w:ind w:left="0" w:leftChars="0" w:firstLine="0" w:firstLineChars="0"/>
        <w:rPr>
          <w:rFonts w:hint="eastAsia"/>
          <w:lang w:val="en-US" w:eastAsia="zh-CN"/>
        </w:rPr>
      </w:pPr>
    </w:p>
    <w:p>
      <w:pPr>
        <w:pStyle w:val="3"/>
        <w:rPr>
          <w:rFonts w:hint="eastAsia"/>
          <w:lang w:val="en-US" w:eastAsia="zh-CN"/>
        </w:rPr>
      </w:pPr>
      <w:bookmarkStart w:id="111" w:name="_Toc21205"/>
      <w:r>
        <w:rPr>
          <w:rFonts w:hint="eastAsia"/>
          <w:lang w:val="en-US" w:eastAsia="zh-CN"/>
        </w:rPr>
        <w:t>第三节 资金筹措</w:t>
      </w:r>
      <w:bookmarkEnd w:id="111"/>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森林公园建设的资金来源要多方位融资，遵循多方投资、联合兴办、共同受益、滚动发展的原则。其资金来源渠道有：国家支持、地方融资、社会集资、吸引外资、自筹资金以及贷款等形式。</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森林公园开发建设是一项多行业、多功能综合性系统工程。为保证森林公园总体规划设计顺利实施，必须充分发挥其自身优势。资金筹措以五种途径为主。</w:t>
      </w:r>
    </w:p>
    <w:p>
      <w:pPr>
        <w:pStyle w:val="4"/>
        <w:rPr>
          <w:rFonts w:hint="eastAsia" w:ascii="宋体" w:hAnsi="宋体" w:eastAsia="宋体" w:cs="宋体"/>
          <w:lang w:val="en-US" w:eastAsia="zh-CN"/>
        </w:rPr>
      </w:pPr>
      <w:r>
        <w:rPr>
          <w:rFonts w:hint="eastAsia" w:ascii="宋体" w:hAnsi="宋体" w:eastAsia="宋体" w:cs="宋体"/>
          <w:lang w:val="en-US" w:eastAsia="zh-CN"/>
        </w:rPr>
        <w:t>一、争取国家资金扶持</w:t>
      </w:r>
    </w:p>
    <w:p>
      <w:pPr>
        <w:widowControl/>
        <w:adjustRightInd/>
        <w:snapToGrid/>
        <w:spacing w:line="240" w:lineRule="auto"/>
        <w:ind w:firstLine="560" w:firstLineChars="200"/>
        <w:jc w:val="left"/>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森林公园风景林属生态公益林，应按国家政策落实森林生态效益补助资金。森林公园中可以通过森林精准提升项目向国家申报工程建设项目资金，争取上级有关部门予以资金扶持和政策倾斜，推动公园建设进程。</w:t>
      </w:r>
    </w:p>
    <w:p>
      <w:pPr>
        <w:pStyle w:val="4"/>
        <w:rPr>
          <w:rFonts w:hint="eastAsia" w:ascii="宋体" w:hAnsi="宋体" w:eastAsia="宋体" w:cs="宋体"/>
          <w:lang w:val="en-US" w:eastAsia="zh-CN"/>
        </w:rPr>
      </w:pPr>
      <w:r>
        <w:rPr>
          <w:rFonts w:hint="eastAsia" w:ascii="宋体" w:hAnsi="宋体" w:eastAsia="宋体" w:cs="宋体"/>
          <w:lang w:val="en-US" w:eastAsia="zh-CN"/>
        </w:rPr>
        <w:t>二、地方政府投资</w:t>
      </w:r>
    </w:p>
    <w:p>
      <w:pPr>
        <w:ind w:firstLine="560"/>
        <w:rPr>
          <w:rFonts w:hint="eastAsia"/>
          <w:lang w:val="en-US" w:eastAsia="zh-CN"/>
        </w:rPr>
      </w:pPr>
      <w:r>
        <w:rPr>
          <w:rFonts w:hint="eastAsia" w:eastAsia="宋体" w:cs="Times New Roman"/>
          <w:color w:val="auto"/>
          <w:sz w:val="28"/>
          <w:szCs w:val="28"/>
          <w:lang w:val="en-US" w:eastAsia="zh-CN"/>
        </w:rPr>
        <w:t>与地方社会事业发展相衔接，争取政府资金投入基础设施建设。公园建设近期，资金缺口较大，各项基础设施的建设应当积极与当地林业、水利、电力、公路等建设部门相衔接，争取各主管部门大力支持。建设西凤省级森林公园不仅是发展旅游，更是一项公益事业，因此地方政府也要给予资金上的帮助，提供政策性贷款。</w:t>
      </w:r>
    </w:p>
    <w:p>
      <w:pPr>
        <w:pStyle w:val="4"/>
        <w:rPr>
          <w:rFonts w:hint="eastAsia" w:ascii="宋体" w:hAnsi="宋体" w:eastAsia="宋体" w:cs="宋体"/>
          <w:lang w:val="en-US" w:eastAsia="zh-CN"/>
        </w:rPr>
      </w:pPr>
      <w:r>
        <w:rPr>
          <w:rFonts w:hint="eastAsia" w:ascii="宋体" w:hAnsi="宋体" w:eastAsia="宋体" w:cs="宋体"/>
          <w:lang w:val="en-US" w:eastAsia="zh-CN"/>
        </w:rPr>
        <w:t>三、招商引资</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 xml:space="preserve">对外招商引资，加大对外宣传力度，积极投入招商引资工作，将公园内优势项目推介出去，通过引入外地资金参与到各个项目的建设中来，利用外资促进公园的开发建设。 </w:t>
      </w:r>
    </w:p>
    <w:p>
      <w:pPr>
        <w:pStyle w:val="4"/>
        <w:rPr>
          <w:rFonts w:hint="eastAsia" w:ascii="宋体" w:hAnsi="宋体" w:eastAsia="宋体" w:cs="宋体"/>
          <w:lang w:val="en-US" w:eastAsia="zh-CN"/>
        </w:rPr>
      </w:pPr>
      <w:r>
        <w:rPr>
          <w:rFonts w:hint="eastAsia" w:ascii="宋体" w:hAnsi="宋体" w:eastAsia="宋体" w:cs="宋体"/>
          <w:lang w:val="en-US" w:eastAsia="zh-CN"/>
        </w:rPr>
        <w:t>四、自筹资金及贷款</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发挥经营单位自身多元化经营优势，以短养长，用短期项目盈利资金投入公园开发建设。</w:t>
      </w:r>
    </w:p>
    <w:p>
      <w:pPr>
        <w:widowControl/>
        <w:adjustRightInd/>
        <w:snapToGrid/>
        <w:spacing w:line="360" w:lineRule="auto"/>
        <w:ind w:left="0" w:leftChars="0" w:firstLine="0" w:firstLine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五、银行贷款融资</w:t>
      </w:r>
    </w:p>
    <w:p>
      <w:pPr>
        <w:tabs>
          <w:tab w:val="left" w:pos="1221"/>
        </w:tabs>
        <w:bidi w:val="0"/>
        <w:jc w:val="left"/>
        <w:rPr>
          <w:rFonts w:hint="eastAsia" w:ascii="Times New Roman" w:hAnsi="Times New Roman" w:eastAsia="仿宋" w:cstheme="minorBidi"/>
          <w:kern w:val="2"/>
          <w:sz w:val="28"/>
          <w:szCs w:val="24"/>
          <w:lang w:val="en-US" w:eastAsia="zh-CN" w:bidi="ar-SA"/>
        </w:rPr>
      </w:pPr>
      <w:r>
        <w:rPr>
          <w:rFonts w:hint="eastAsia" w:eastAsia="宋体" w:cs="Times New Roman"/>
          <w:color w:val="auto"/>
          <w:sz w:val="28"/>
          <w:szCs w:val="28"/>
          <w:lang w:val="en-US" w:eastAsia="zh-CN"/>
        </w:rPr>
        <w:t>积极拓展融资渠道，通过银行贷款等方式积累资金参与森林公园建设，解决资金难题，主要景点建设通过向银行申请长期贷进行建设。</w:t>
      </w:r>
    </w:p>
    <w:p>
      <w:pPr>
        <w:pStyle w:val="3"/>
        <w:rPr>
          <w:rFonts w:hint="eastAsia"/>
          <w:lang w:val="en-US" w:eastAsia="zh-CN"/>
        </w:rPr>
      </w:pPr>
      <w:bookmarkStart w:id="112" w:name="_Toc24792"/>
      <w:r>
        <w:rPr>
          <w:rFonts w:hint="eastAsia"/>
          <w:lang w:val="en-US" w:eastAsia="zh-CN"/>
        </w:rPr>
        <w:t>第四节 效益分析</w:t>
      </w:r>
      <w:bookmarkEnd w:id="112"/>
    </w:p>
    <w:p>
      <w:pPr>
        <w:pStyle w:val="4"/>
        <w:rPr>
          <w:rFonts w:hint="eastAsia" w:ascii="宋体" w:hAnsi="宋体" w:eastAsia="宋体" w:cs="宋体"/>
          <w:lang w:val="en-US" w:eastAsia="zh-CN"/>
        </w:rPr>
      </w:pPr>
      <w:r>
        <w:rPr>
          <w:rFonts w:hint="eastAsia" w:ascii="宋体" w:hAnsi="宋体" w:eastAsia="宋体" w:cs="宋体"/>
          <w:lang w:val="en-US" w:eastAsia="zh-CN"/>
        </w:rPr>
        <w:t>一、生态效益分析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的开发建设使公园内现有的动植物资源能得到良好的保护，同时经采用科学的风景林营造与经营技术后，森林公园的森林覆盖率将有所提高，林种、树种结构日趋合理，森林公园及其周边的森林生态系统稳定性日益增强，对维护生态平衡的效益十分巨大。</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（一）水源涵养效益</w:t>
      </w:r>
    </w:p>
    <w:p>
      <w:pPr>
        <w:tabs>
          <w:tab w:val="left" w:pos="478"/>
        </w:tabs>
        <w:bidi w:val="0"/>
        <w:jc w:val="left"/>
        <w:rPr>
          <w:rFonts w:hint="eastAsia"/>
          <w:lang w:val="en-US" w:eastAsia="zh-CN"/>
        </w:rPr>
      </w:pPr>
      <w:r>
        <w:rPr>
          <w:rFonts w:hint="eastAsia" w:eastAsia="宋体" w:cs="Times New Roman"/>
          <w:color w:val="auto"/>
          <w:sz w:val="28"/>
          <w:szCs w:val="28"/>
          <w:lang w:val="en-US" w:eastAsia="zh-CN"/>
        </w:rPr>
        <w:t>据测定，每公顷森林每年可蓄水300立方米。西凤省级森林公园</w:t>
      </w:r>
    </w:p>
    <w:p>
      <w:pPr>
        <w:widowControl/>
        <w:adjustRightInd/>
        <w:snapToGrid/>
        <w:spacing w:line="360" w:lineRule="auto"/>
        <w:ind w:left="0" w:leftChars="0" w:firstLine="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现有森林面积161.73公顷，则公园每年可涵养贮水量48519立方米，成为一座天然的绿色水库。这些水源为森林公园及其周边地区居民生活、生产用水以及调节梁庙沟的水质、水量提供重要保证。假如森林公园森林所需水量用于生产、生活用水，按一般水价2.0元/立方米计，森林公园每年森林的涵养水源效益为97038元。</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（二）氧气固碳功能效益</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是空气中二氧化碳的主要消耗者和氧气的制造者。据科学研究，1公顷森林，每年可释放氧气2.025吨，吸收二氧化碳2.80吨。西凤省级森林公园现有森林面积161.73公顷，每年可释放氧气327.50吨，吸收二氧化碳452.84吨。如按生产氧气和固定二氧化碳分别按800元/吨和400元/吨计算，则森林公园每年释放氧气和固定二氧化碳的价值可达443136元。</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（三）净化大气功能效益</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植物的各种器官特别是叶、花、根能分泌出一些挥发性物质如萜烯、有机酸、醚、醛、酮等，这些物质能杀死原生动物、细菌和真菌，起到净化空气的功效；森林植物对尘埃有阻挡、过滤、吸附的作用；森林能吸毒，能吸收二氧化硫、氟化物等有毒气体。据测定，森林每年每公顷可散发5千克植物杀菌素，可吸尘68吨，每公顷可节省除尘费用为80.7元，可吸收SO2 180千克，每公顷减少污染造成的费用损失为99元。据此计算，森林公园仅这两项价值合计可达29062.88元。</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（四）生物多样性效益</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拥有众多的生物物种，森林所具有的独特而优越的生活环境，各类动植物才得以繁衍、生息。森林公园的建设与发展是建立在森林风景资源的科学开发与合理利用的基础上，采取的是保护性开发的措施，最大限度地保护了森林资源，并且通过林分改造、风景林的建设以及森林公园管理部门的有效管理，使森林环境得到改善。森林环境的改善，有利于生物种群和群落的演替发展，形成复杂而稳定的生态系统，使生物多样性更加丰富。</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（五）景观和环境保护效益</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通过保护森林、营造风景林、重点绿化美化和对现有风景林的培育，不仅使森林公园风景林面积增加，提高了森林覆盖率，而且还丰富了森林景色，形成四季各异的景观，使森林环境更加优美宜人，提供良好的旅游场所，满足人们“回归自然、返璞归真”的需要。</w:t>
      </w:r>
    </w:p>
    <w:p>
      <w:pPr>
        <w:pStyle w:val="4"/>
        <w:rPr>
          <w:rFonts w:hint="eastAsia" w:ascii="宋体" w:hAnsi="宋体" w:eastAsia="宋体" w:cs="宋体"/>
          <w:lang w:val="en-US" w:eastAsia="zh-CN"/>
        </w:rPr>
      </w:pPr>
      <w:r>
        <w:rPr>
          <w:rFonts w:hint="eastAsia" w:ascii="宋体" w:hAnsi="宋体" w:eastAsia="宋体" w:cs="宋体"/>
          <w:lang w:val="en-US" w:eastAsia="zh-CN"/>
        </w:rPr>
        <w:t>二、社会效益分析</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（一）丰富文化生活，陶冶高雅情操</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生态旅游通过开展生态知识宣传、科普教育和进行多种多样的生态旅游活动，为当地提供理想的自然教育基地、户外游憩胜地，满足人们向往自然、亲近自然的诉求，也能满足不同游客休闲游玩的多样化需求。公园内环境优良、空气清新、凉爽风微、景色宜人，空气负离子含量高、含氧量高，细菌少、噪音低，是休闲、避暑、健身、娱乐、观光、摄影的理想场所，能够同时满足游客精神和物质的双重需求。使游客平时紧张的精神得到完全放松，并在休闲愉悦的环境中度过美好的旅程，有利于身心健康；同时，公园内开展的各种生态知识宣传和科普教育活动，也能使游客开阔眼界、增长知识。</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（二）增强全社会的环保意识</w:t>
      </w:r>
    </w:p>
    <w:p>
      <w:pPr>
        <w:widowControl/>
        <w:adjustRightInd/>
        <w:snapToGrid/>
        <w:spacing w:line="360" w:lineRule="auto"/>
        <w:ind w:firstLine="560" w:firstLineChars="0"/>
        <w:jc w:val="both"/>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生态环境优越，物种资源丰富，为社会各界休闲度假、养生避暑、旅游观光，为广大公众普及自然科学知识，为科研院校进行教学实习和科研考察等提供了理想的基地，同时还可以满足人们进行艺术创作、丰富文化生活的需求，激发人们热爱祖国、热爱自然的热情，树立高尚的生态文明观，并通过生态旅游活动不断强化人们的环境保护意识，使人们在发展经济的同时更加注重生态环境的保护。</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（三）促进产业协调发展</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旅游业的发展，能够带动公园周边房地产、旅馆业、餐饮业、交通运输业、娱乐业、建筑业、邮电通讯业、商业、农副产品种植加工业等的发展，加速当地经济结构的调整促进生态产业发展，调整、完善产业结构。森林公园是重要的生态旅游基地，将有效地带动当地旅游业发展，包括当地农家乐的发展；在壮大发展森林旅游等高附加值的绿色产业的同时，促进产业结构调整，构建与生态资源保护相适应的绿色产业体系，发展以生态旅游业为龙头的第三产业，并刺激当地与之相关行业的发展，促进一、二、三产业的协调发展和经济的全面增长。</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（四）促进经济发展、扩大居民就业</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森林公园初期建设完成以后，能够满足游客吃、住、行、游、购、娱等全方位的服务要求。并且公园生态旅游的发展，也能带动当地住宿、餐饮、娱乐休闲、交通运输等各个行业的发展，优化产业结构，带动区域经济发展，为当地居民增收创业获取实惠。森林公园建设将进一步改善现有道路交通、给排水、电力通讯等基础设施，解决当地发展的硬环境制约；森林公园将组织开展就业培训，加强对当地居民的技术指导和人才援助，传授与产业结构调整有关的劳动技能，提高当地居民职业技术与文化水平。在建设和经营过程中，尽量安排当地居民作为森林公园主要的工作人员，扩大当地居民的就业。</w:t>
      </w:r>
    </w:p>
    <w:p>
      <w:pPr>
        <w:pStyle w:val="42"/>
        <w:widowControl/>
        <w:adjustRightInd/>
        <w:snapToGrid/>
        <w:spacing w:before="120" w:beforeLines="50" w:line="360" w:lineRule="auto"/>
        <w:ind w:firstLine="562" w:firstLineChars="0"/>
        <w:jc w:val="both"/>
        <w:outlineLvl w:val="3"/>
        <w:rPr>
          <w:rFonts w:hint="eastAsia" w:eastAsia="楷体" w:cs="Times New Roman"/>
          <w:b/>
          <w:bCs/>
          <w:color w:val="auto"/>
          <w:sz w:val="28"/>
          <w:szCs w:val="28"/>
          <w:lang w:val="en-US" w:eastAsia="zh-CN"/>
        </w:rPr>
      </w:pPr>
      <w:r>
        <w:rPr>
          <w:rFonts w:hint="eastAsia" w:eastAsia="楷体" w:cs="Times New Roman"/>
          <w:b/>
          <w:bCs/>
          <w:color w:val="auto"/>
          <w:sz w:val="28"/>
          <w:szCs w:val="28"/>
          <w:lang w:val="en-US" w:eastAsia="zh-CN"/>
        </w:rPr>
        <w:t>（五）增加对外交流、优化投资环境</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通过森林公园的生态旅游，吸引外地游客游览自然风景、感受生态文化、领略人文景观、体验户外运动，增加对森林公园的了解，增进本地与全省乃至国内外各地之间的友好往来，有利于对外开放，扩大交往，广泛开展经济、文化交流，提高公园知名度，促进森林公园快速、健康发展。通过森林旅游的窗口吸引省内外优质的技术、人才和先进的服务理念，优化现有的投资环境。为森林旅游及周边产业长期、健康、快速发展奠定基础。</w:t>
      </w:r>
    </w:p>
    <w:p>
      <w:pPr>
        <w:pStyle w:val="4"/>
        <w:rPr>
          <w:rFonts w:hint="eastAsia" w:ascii="宋体" w:hAnsi="宋体" w:eastAsia="宋体" w:cs="宋体"/>
          <w:lang w:val="en-US" w:eastAsia="zh-CN"/>
        </w:rPr>
      </w:pPr>
      <w:r>
        <w:rPr>
          <w:rFonts w:hint="eastAsia" w:ascii="宋体" w:hAnsi="宋体" w:eastAsia="宋体" w:cs="宋体"/>
          <w:lang w:val="en-US" w:eastAsia="zh-CN"/>
        </w:rPr>
        <w:t>三、经济效益分析</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暂无收取门票的考虑，森林公园主要为生态公益林，暂无收费项目，今后建设的收费设施也为企业行为。因此考虑到其具有的开放性、公益性、生态性等特点，因而不对森林公园效益评估做量化处理。</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西凤省级森林公园建设能够更进一步地将森林生态价值、景观价值转化为经济价值和文化价值，将森林资源转化为森林资产，实现林地和森林资源资产增值。</w:t>
      </w: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eastAsia" w:eastAsia="宋体" w:cs="Times New Roman"/>
          <w:color w:val="auto"/>
          <w:sz w:val="28"/>
          <w:szCs w:val="28"/>
          <w:lang w:val="en-US" w:eastAsia="zh-CN"/>
        </w:rPr>
      </w:pPr>
    </w:p>
    <w:p>
      <w:pPr>
        <w:widowControl/>
        <w:adjustRightInd/>
        <w:snapToGrid/>
        <w:spacing w:line="360" w:lineRule="auto"/>
        <w:ind w:firstLine="560" w:firstLineChars="0"/>
        <w:jc w:val="both"/>
        <w:rPr>
          <w:rFonts w:hint="default" w:eastAsia="宋体" w:cs="Times New Roman"/>
          <w:color w:val="auto"/>
          <w:sz w:val="28"/>
          <w:szCs w:val="28"/>
          <w:lang w:val="en-US" w:eastAsia="zh-CN"/>
        </w:rPr>
        <w:sectPr>
          <w:headerReference r:id="rId14" w:type="default"/>
          <w:footerReference r:id="rId15" w:type="default"/>
          <w:pgSz w:w="11906" w:h="16838"/>
          <w:pgMar w:top="1440" w:right="1800" w:bottom="1440" w:left="1800" w:header="851" w:footer="992" w:gutter="0"/>
          <w:pgNumType w:fmt="numberInDash" w:start="3"/>
          <w:cols w:space="425" w:num="1"/>
          <w:docGrid w:type="lines" w:linePitch="312" w:charSpace="0"/>
        </w:sectPr>
      </w:pPr>
    </w:p>
    <w:p>
      <w:pPr>
        <w:pStyle w:val="41"/>
        <w:keepNext w:val="0"/>
        <w:keepLines w:val="0"/>
        <w:pageBreakBefore/>
        <w:widowControl/>
        <w:adjustRightInd w:val="0"/>
        <w:snapToGrid w:val="0"/>
        <w:spacing w:before="240" w:beforeLines="100" w:after="0" w:afterLines="0" w:line="360" w:lineRule="auto"/>
        <w:ind w:firstLine="0" w:firstLineChars="0"/>
        <w:jc w:val="both"/>
        <w:rPr>
          <w:rFonts w:hint="eastAsia" w:cs="Times New Roman"/>
          <w:b w:val="0"/>
          <w:bCs w:val="0"/>
          <w:i w:val="0"/>
          <w:iCs/>
          <w:color w:val="auto"/>
          <w:kern w:val="44"/>
          <w:szCs w:val="44"/>
          <w:lang w:val="en-US" w:eastAsia="zh-CN"/>
        </w:rPr>
      </w:pPr>
      <w:bookmarkStart w:id="113" w:name="_Toc9088"/>
      <w:r>
        <w:rPr>
          <w:rFonts w:hint="eastAsia" w:cs="Times New Roman"/>
          <w:b w:val="0"/>
          <w:bCs w:val="0"/>
          <w:i w:val="0"/>
          <w:iCs/>
          <w:color w:val="auto"/>
          <w:kern w:val="44"/>
          <w:szCs w:val="44"/>
          <w:lang w:val="en-US" w:eastAsia="zh-CN"/>
        </w:rPr>
        <w:t>附表</w:t>
      </w:r>
      <w:bookmarkEnd w:id="113"/>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t xml:space="preserve">                  </w:t>
      </w:r>
      <w:r>
        <w:rPr>
          <w:rFonts w:hint="eastAsia" w:ascii="黑体" w:hAnsi="黑体" w:eastAsia="黑体" w:cs="Times New Roman"/>
          <w:color w:val="auto"/>
          <w:sz w:val="24"/>
          <w:lang w:val="en-US" w:eastAsia="zh-CN"/>
        </w:rPr>
        <w:t xml:space="preserve"> </w:t>
      </w:r>
      <w:r>
        <w:rPr>
          <w:rFonts w:hint="eastAsia" w:ascii="黑体" w:hAnsi="黑体" w:eastAsia="黑体" w:cs="Times New Roman"/>
          <w:color w:val="auto"/>
          <w:sz w:val="28"/>
          <w:szCs w:val="28"/>
          <w:lang w:val="en-US" w:eastAsia="zh-CN"/>
        </w:rPr>
        <w:t xml:space="preserve"> 台前县西凤省级森林公园投资估算总表  单位：万元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265"/>
        <w:gridCol w:w="960"/>
        <w:gridCol w:w="885"/>
        <w:gridCol w:w="810"/>
        <w:gridCol w:w="1365"/>
        <w:gridCol w:w="1425"/>
        <w:gridCol w:w="1650"/>
        <w:gridCol w:w="1125"/>
        <w:gridCol w:w="1421"/>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2265"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项目名称</w:t>
            </w:r>
          </w:p>
        </w:tc>
        <w:tc>
          <w:tcPr>
            <w:tcW w:w="960"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kern w:val="0"/>
                <w:sz w:val="22"/>
                <w:szCs w:val="22"/>
                <w:u w:val="none"/>
                <w:lang w:val="en-US" w:eastAsia="zh-CN" w:bidi="ar"/>
              </w:rPr>
            </w:pPr>
            <w:r>
              <w:rPr>
                <w:rFonts w:hint="default" w:ascii="Times New Roman" w:hAnsi="Times New Roman" w:eastAsia="宋体" w:cs="Times New Roman"/>
                <w:b/>
                <w:bCs/>
                <w:i w:val="0"/>
                <w:iCs w:val="0"/>
                <w:color w:val="000000"/>
                <w:kern w:val="0"/>
                <w:sz w:val="22"/>
                <w:szCs w:val="22"/>
                <w:u w:val="none"/>
                <w:lang w:val="en-US" w:eastAsia="zh-CN" w:bidi="ar"/>
              </w:rPr>
              <w:t>建设</w:t>
            </w:r>
          </w:p>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性质</w:t>
            </w:r>
          </w:p>
        </w:tc>
        <w:tc>
          <w:tcPr>
            <w:tcW w:w="885"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单位</w:t>
            </w:r>
          </w:p>
        </w:tc>
        <w:tc>
          <w:tcPr>
            <w:tcW w:w="810"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bCs/>
                <w:i w:val="0"/>
                <w:iCs w:val="0"/>
                <w:color w:val="000000"/>
                <w:kern w:val="0"/>
                <w:sz w:val="22"/>
                <w:szCs w:val="22"/>
                <w:u w:val="none"/>
                <w:lang w:val="en-US" w:eastAsia="zh-CN" w:bidi="ar"/>
              </w:rPr>
            </w:pPr>
            <w:r>
              <w:rPr>
                <w:rFonts w:hint="default" w:ascii="Times New Roman" w:hAnsi="Times New Roman" w:eastAsia="宋体" w:cs="Times New Roman"/>
                <w:b/>
                <w:bCs/>
                <w:i w:val="0"/>
                <w:iCs w:val="0"/>
                <w:color w:val="000000"/>
                <w:kern w:val="0"/>
                <w:sz w:val="22"/>
                <w:szCs w:val="22"/>
                <w:u w:val="none"/>
                <w:lang w:val="en-US" w:eastAsia="zh-CN" w:bidi="ar"/>
              </w:rPr>
              <w:t>建设</w:t>
            </w:r>
          </w:p>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规模</w:t>
            </w:r>
          </w:p>
        </w:tc>
        <w:tc>
          <w:tcPr>
            <w:tcW w:w="1365"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投资单价</w:t>
            </w:r>
          </w:p>
        </w:tc>
        <w:tc>
          <w:tcPr>
            <w:tcW w:w="1425" w:type="dxa"/>
            <w:vMerge w:val="restart"/>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投资额</w:t>
            </w:r>
          </w:p>
        </w:tc>
        <w:tc>
          <w:tcPr>
            <w:tcW w:w="2775" w:type="dxa"/>
            <w:gridSpan w:val="2"/>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投资构成</w:t>
            </w:r>
          </w:p>
        </w:tc>
        <w:tc>
          <w:tcPr>
            <w:tcW w:w="2857" w:type="dxa"/>
            <w:gridSpan w:val="2"/>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建设分期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2265"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960"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Merge w:val="continue"/>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650"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工程投资</w:t>
            </w: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其他投资</w:t>
            </w:r>
          </w:p>
        </w:tc>
        <w:tc>
          <w:tcPr>
            <w:tcW w:w="1421" w:type="dxa"/>
            <w:vAlign w:val="center"/>
          </w:tcPr>
          <w:p>
            <w:pPr>
              <w:keepNext w:val="0"/>
              <w:keepLines w:val="0"/>
              <w:widowControl/>
              <w:suppressLineNumbers w:val="0"/>
              <w:ind w:left="0" w:leftChars="0"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近期</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总投资</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12265.30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10476.45</w:t>
            </w: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1788.85</w:t>
            </w: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8630.93</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3634.37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比例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100.00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85.42</w:t>
            </w: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14.58</w:t>
            </w: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70.37</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29.63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A</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工程费用</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10476.45</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10476.45</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7378.74</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3097.71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一</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景点建设工程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1332.60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1332.60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621.04</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711.56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曲径通幽</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竹岛听风</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0.80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金堤余韵</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0.30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45.00</w:t>
            </w:r>
          </w:p>
        </w:tc>
        <w:tc>
          <w:tcPr>
            <w:tcW w:w="16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杉林寻鹭</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90.00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秋色如染</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碧水迎宾</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森林文化广场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0.50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果林识香</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3.22</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96.60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96.60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38.64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二</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基础设施建设</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6055.00</w:t>
            </w:r>
          </w:p>
        </w:tc>
        <w:tc>
          <w:tcPr>
            <w:tcW w:w="1650" w:type="dxa"/>
            <w:vAlign w:val="center"/>
          </w:tcPr>
          <w:p>
            <w:pPr>
              <w:keepNext w:val="0"/>
              <w:keepLines w:val="0"/>
              <w:widowControl/>
              <w:suppressLineNumbers w:val="0"/>
              <w:ind w:firstLine="442"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6055.00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4728.00</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1327.00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道路交通工程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3775.00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3645.00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3010.00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2.1.1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主干道</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改扩建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千米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3000.00</w:t>
            </w:r>
          </w:p>
        </w:tc>
        <w:tc>
          <w:tcPr>
            <w:tcW w:w="1650" w:type="dxa"/>
            <w:vAlign w:val="center"/>
          </w:tcPr>
          <w:p>
            <w:pPr>
              <w:keepNext w:val="0"/>
              <w:keepLines w:val="0"/>
              <w:widowControl/>
              <w:suppressLineNumbers w:val="0"/>
              <w:ind w:firstLine="440" w:firstLineChars="200"/>
              <w:jc w:val="both"/>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2870.00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2.1.2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新建游步道</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千米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2.1.3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停车场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扩建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平方米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275.00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给排水工程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1220.00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1220.00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976.00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给水工程</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消防工程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排水工程</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污水处理</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扩建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供电工程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1060.00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1060.00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742.00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布设电线</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扩建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米</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变压器</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配电箱</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扩建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0.50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三</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服务设施建设</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323.20</w:t>
            </w:r>
          </w:p>
        </w:tc>
        <w:tc>
          <w:tcPr>
            <w:tcW w:w="1650"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323.20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191.44</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娱乐设施</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森林迷宫</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康养项目</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森林冒险</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环卫设施</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多功能管理用房</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垃圾分类收集点</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垃圾箱</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导游标志</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181.20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181.20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126.04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大型全景牌示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4.80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小型全景牌示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6.30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大型指路牌示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0.50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小型指路牌示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0.30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10.50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3.3.5</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景点牌示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15.40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3.3.6</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大型警告牌示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0.84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3.3.7</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小型警告牌示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3.3.8</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导引牌示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9.80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3.3.9</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树种文字（二维码）牌示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购物商店</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0.40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医疗点</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四</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植物景观工程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935.65</w:t>
            </w:r>
          </w:p>
        </w:tc>
        <w:tc>
          <w:tcPr>
            <w:tcW w:w="1650"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935.65</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374.26</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561.39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植被规划工程</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892.65</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892.65</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357.06</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森林旅游区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169.23</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846.15</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846.15</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338.46</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生产经营区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3.22</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16.10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16.10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6.44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管理服务区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0.60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4.1.4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生态保育区</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公顷</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5.48</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27.40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27.40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10.96</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森林植物景观建设</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43.00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4.2.1</w:t>
            </w:r>
          </w:p>
        </w:tc>
        <w:tc>
          <w:tcPr>
            <w:tcW w:w="226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景点森林景观建设</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服务设施植物建设</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4.2.3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道路与停车场景观植物建设</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改建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3.20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五</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保护工程建设</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1830.00</w:t>
            </w:r>
          </w:p>
        </w:tc>
        <w:tc>
          <w:tcPr>
            <w:tcW w:w="1650"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1830.00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1464.00</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生物资源保护</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风景资源保护</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160.00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人文景观资源保护</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生态环境保护</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块</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森林防火</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处</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森林有害生物防治</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56.00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其它灾害防治</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灾害监测</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48.00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应急、预警系统</w:t>
            </w:r>
          </w:p>
        </w:tc>
        <w:tc>
          <w:tcPr>
            <w:tcW w:w="96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新建</w:t>
            </w:r>
          </w:p>
        </w:tc>
        <w:tc>
          <w:tcPr>
            <w:tcW w:w="88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项</w:t>
            </w:r>
          </w:p>
        </w:tc>
        <w:tc>
          <w:tcPr>
            <w:tcW w:w="81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650"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50.00</w:t>
            </w:r>
          </w:p>
        </w:tc>
        <w:tc>
          <w:tcPr>
            <w:tcW w:w="112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40.00</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B</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工程建设其他费用</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1204.79</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1204.79</w:t>
            </w: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843.35</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361.44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工程咨询费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209.53</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209.53</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146.67</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建设单位管理费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209.53</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209.53</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146.67</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勘察设计费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314.29</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314.29</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220.01</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工程监理费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104.76</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104.76</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73.34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招投标费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104.76</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104.76</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73.34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环境影响评价费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261.91</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261.91</w:t>
            </w:r>
          </w:p>
        </w:tc>
        <w:tc>
          <w:tcPr>
            <w:tcW w:w="1421"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183.34</w:t>
            </w:r>
          </w:p>
        </w:tc>
        <w:tc>
          <w:tcPr>
            <w:tcW w:w="1436" w:type="dxa"/>
            <w:vAlign w:val="center"/>
          </w:tcPr>
          <w:p>
            <w:pPr>
              <w:keepNext w:val="0"/>
              <w:keepLines w:val="0"/>
              <w:widowControl/>
              <w:suppressLineNumbers w:val="0"/>
              <w:ind w:firstLine="440"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32"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C</w:t>
            </w:r>
          </w:p>
        </w:tc>
        <w:tc>
          <w:tcPr>
            <w:tcW w:w="226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基本预备费</w:t>
            </w:r>
          </w:p>
        </w:tc>
        <w:tc>
          <w:tcPr>
            <w:tcW w:w="96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8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81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365"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425" w:type="dxa"/>
            <w:vAlign w:val="center"/>
          </w:tcPr>
          <w:p>
            <w:pPr>
              <w:keepNext w:val="0"/>
              <w:keepLines w:val="0"/>
              <w:widowControl/>
              <w:suppressLineNumbers w:val="0"/>
              <w:ind w:left="0" w:leftChars="0" w:firstLine="0" w:firstLineChars="0"/>
              <w:jc w:val="center"/>
              <w:textAlignment w:val="bottom"/>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4"/>
                <w:szCs w:val="24"/>
                <w:u w:val="none"/>
                <w:lang w:val="en-US" w:eastAsia="zh-CN" w:bidi="ar"/>
              </w:rPr>
              <w:t>584.06</w:t>
            </w:r>
          </w:p>
        </w:tc>
        <w:tc>
          <w:tcPr>
            <w:tcW w:w="1650" w:type="dxa"/>
            <w:vAlign w:val="center"/>
          </w:tcPr>
          <w:p>
            <w:pPr>
              <w:jc w:val="center"/>
              <w:rPr>
                <w:rFonts w:hint="default" w:ascii="Times New Roman" w:hAnsi="Times New Roman" w:eastAsia="黑体" w:cs="Times New Roman"/>
                <w:color w:val="auto"/>
                <w:sz w:val="36"/>
                <w:szCs w:val="36"/>
                <w:vertAlign w:val="baseline"/>
                <w:lang w:val="en-US" w:eastAsia="zh-CN"/>
              </w:rPr>
            </w:pPr>
          </w:p>
        </w:tc>
        <w:tc>
          <w:tcPr>
            <w:tcW w:w="1125"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584.06</w:t>
            </w:r>
          </w:p>
        </w:tc>
        <w:tc>
          <w:tcPr>
            <w:tcW w:w="1421"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408.84</w:t>
            </w:r>
          </w:p>
        </w:tc>
        <w:tc>
          <w:tcPr>
            <w:tcW w:w="1436" w:type="dxa"/>
            <w:vAlign w:val="center"/>
          </w:tcPr>
          <w:p>
            <w:pPr>
              <w:keepNext w:val="0"/>
              <w:keepLines w:val="0"/>
              <w:widowControl/>
              <w:suppressLineNumbers w:val="0"/>
              <w:ind w:firstLine="442" w:firstLineChars="200"/>
              <w:jc w:val="center"/>
              <w:textAlignment w:val="center"/>
              <w:rPr>
                <w:rFonts w:hint="default" w:ascii="Times New Roman" w:hAnsi="Times New Roman" w:eastAsia="黑体" w:cs="Times New Roman"/>
                <w:color w:val="auto"/>
                <w:sz w:val="36"/>
                <w:szCs w:val="36"/>
                <w:vertAlign w:val="baseline"/>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175.22</w:t>
            </w:r>
          </w:p>
        </w:tc>
      </w:tr>
    </w:tbl>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sectPr>
          <w:pgSz w:w="16838" w:h="11906" w:orient="landscape"/>
          <w:pgMar w:top="1800" w:right="1440" w:bottom="1800" w:left="1440" w:header="851" w:footer="992" w:gutter="0"/>
          <w:pgNumType w:fmt="numberInDash"/>
          <w:cols w:space="425" w:num="1"/>
          <w:docGrid w:type="lines" w:linePitch="312" w:charSpace="0"/>
        </w:sectPr>
      </w:pPr>
    </w:p>
    <w:p>
      <w:pPr>
        <w:pStyle w:val="41"/>
        <w:keepNext w:val="0"/>
        <w:keepLines w:val="0"/>
        <w:pageBreakBefore/>
        <w:widowControl/>
        <w:adjustRightInd w:val="0"/>
        <w:snapToGrid w:val="0"/>
        <w:spacing w:before="240" w:beforeLines="100" w:after="0" w:afterLines="0" w:line="360" w:lineRule="auto"/>
        <w:ind w:firstLine="0" w:firstLineChars="0"/>
        <w:jc w:val="both"/>
        <w:rPr>
          <w:rFonts w:hint="default" w:cs="Times New Roman"/>
          <w:b w:val="0"/>
          <w:bCs w:val="0"/>
          <w:i w:val="0"/>
          <w:iCs/>
          <w:color w:val="auto"/>
          <w:kern w:val="44"/>
          <w:szCs w:val="44"/>
          <w:lang w:val="en-US" w:eastAsia="zh-CN"/>
        </w:rPr>
      </w:pPr>
      <w:bookmarkStart w:id="114" w:name="_Toc13217"/>
      <w:r>
        <w:rPr>
          <w:rFonts w:hint="eastAsia" w:cs="Times New Roman"/>
          <w:b w:val="0"/>
          <w:bCs w:val="0"/>
          <w:i w:val="0"/>
          <w:iCs/>
          <w:color w:val="auto"/>
          <w:kern w:val="44"/>
          <w:szCs w:val="44"/>
          <w:lang w:val="en-US" w:eastAsia="zh-CN"/>
        </w:rPr>
        <w:t>附录</w:t>
      </w:r>
      <w:r>
        <w:rPr>
          <w:rFonts w:hint="eastAsia" w:ascii="黑体" w:hAnsi="黑体" w:eastAsia="黑体" w:cs="黑体"/>
          <w:b w:val="0"/>
          <w:bCs w:val="0"/>
          <w:i w:val="0"/>
          <w:iCs/>
          <w:color w:val="auto"/>
          <w:kern w:val="44"/>
          <w:szCs w:val="44"/>
          <w:lang w:val="en-US" w:eastAsia="zh-CN"/>
        </w:rPr>
        <w:t>1</w:t>
      </w:r>
      <w:bookmarkEnd w:id="114"/>
    </w:p>
    <w:p>
      <w:pPr>
        <w:jc w:val="center"/>
        <w:rPr>
          <w:rFonts w:hint="eastAsia" w:ascii="黑体" w:eastAsia="黑体"/>
          <w:sz w:val="44"/>
          <w:szCs w:val="44"/>
          <w:lang w:val="pt-BR"/>
        </w:rPr>
      </w:pPr>
      <w:r>
        <w:rPr>
          <w:rFonts w:hint="eastAsia" w:ascii="黑体" w:eastAsia="黑体"/>
          <w:sz w:val="44"/>
          <w:szCs w:val="44"/>
          <w:lang w:val="en-US" w:eastAsia="zh-CN"/>
        </w:rPr>
        <w:t>台前县西凤省级森林公园</w:t>
      </w:r>
      <w:r>
        <w:rPr>
          <w:rFonts w:hint="eastAsia" w:ascii="黑体" w:eastAsia="黑体"/>
          <w:sz w:val="44"/>
          <w:szCs w:val="44"/>
        </w:rPr>
        <w:t>植物名录</w:t>
      </w:r>
    </w:p>
    <w:p>
      <w:pPr>
        <w:spacing w:line="440" w:lineRule="exact"/>
        <w:ind w:firstLine="560" w:firstLineChars="200"/>
        <w:rPr>
          <w:szCs w:val="21"/>
        </w:rPr>
      </w:pPr>
    </w:p>
    <w:p>
      <w:pPr>
        <w:jc w:val="center"/>
        <w:rPr>
          <w:rFonts w:hint="eastAsia" w:ascii="宋体" w:hAnsi="宋体" w:eastAsia="宋体" w:cs="宋体"/>
          <w:b/>
          <w:color w:val="000000"/>
          <w:sz w:val="36"/>
          <w:szCs w:val="36"/>
        </w:rPr>
      </w:pPr>
      <w:r>
        <w:rPr>
          <w:rFonts w:hint="eastAsia" w:ascii="宋体" w:hAnsi="宋体" w:eastAsia="宋体" w:cs="宋体"/>
          <w:b/>
          <w:color w:val="000000"/>
          <w:sz w:val="36"/>
          <w:szCs w:val="36"/>
          <w:lang w:val="en-US" w:eastAsia="zh-CN"/>
        </w:rPr>
        <w:t>I</w:t>
      </w:r>
      <w:r>
        <w:rPr>
          <w:rFonts w:hint="eastAsia" w:ascii="宋体" w:hAnsi="宋体" w:eastAsia="宋体" w:cs="宋体"/>
          <w:b/>
          <w:color w:val="000000"/>
          <w:sz w:val="36"/>
          <w:szCs w:val="36"/>
          <w:lang w:val="es-ES"/>
        </w:rPr>
        <w:t>.</w:t>
      </w:r>
      <w:r>
        <w:rPr>
          <w:rFonts w:hint="eastAsia" w:ascii="宋体" w:hAnsi="宋体" w:eastAsia="宋体" w:cs="宋体"/>
          <w:b/>
          <w:color w:val="000000"/>
          <w:sz w:val="36"/>
          <w:szCs w:val="36"/>
        </w:rPr>
        <w:t>裸子植物门</w:t>
      </w:r>
      <w:r>
        <w:rPr>
          <w:rFonts w:hint="default" w:ascii="Times New Roman" w:hAnsi="Times New Roman" w:eastAsia="宋体" w:cs="Times New Roman"/>
          <w:b/>
          <w:color w:val="000000"/>
          <w:sz w:val="36"/>
          <w:szCs w:val="36"/>
        </w:rPr>
        <w:t>GYMNOSPERMAE</w:t>
      </w:r>
    </w:p>
    <w:p>
      <w:pPr>
        <w:jc w:val="center"/>
        <w:rPr>
          <w:rFonts w:ascii="黑体" w:eastAsia="黑体"/>
          <w:color w:val="000000"/>
          <w:szCs w:val="21"/>
        </w:rPr>
      </w:pPr>
      <w:r>
        <w:rPr>
          <w:rFonts w:hint="eastAsia" w:ascii="黑体" w:eastAsia="黑体"/>
          <w:color w:val="000000"/>
          <w:szCs w:val="21"/>
        </w:rPr>
        <w:t>（按照郑万均系统排列）</w:t>
      </w:r>
    </w:p>
    <w:p>
      <w:pPr>
        <w:spacing w:line="440" w:lineRule="exact"/>
        <w:jc w:val="center"/>
        <w:rPr>
          <w:rFonts w:ascii="黑体" w:eastAsia="黑体"/>
          <w:sz w:val="24"/>
          <w:szCs w:val="24"/>
        </w:rPr>
      </w:pP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一、银杏科</w:t>
      </w:r>
      <w:r>
        <w:rPr>
          <w:rFonts w:hint="eastAsia" w:eastAsia="黑体"/>
          <w:b/>
          <w:color w:val="000000"/>
          <w:sz w:val="32"/>
          <w:szCs w:val="32"/>
          <w:lang w:val="en-US" w:eastAsia="zh-CN"/>
        </w:rPr>
        <w:t>Ginkgoaceae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一</w:t>
      </w:r>
      <w:r>
        <w:rPr>
          <w:rFonts w:hint="eastAsia" w:ascii="黑体" w:eastAsia="黑体"/>
          <w:color w:val="000000"/>
          <w:sz w:val="30"/>
          <w:szCs w:val="30"/>
          <w:lang w:val="es-ES"/>
        </w:rPr>
        <w:t>）银杏属</w:t>
      </w:r>
      <w:r>
        <w:rPr>
          <w:rFonts w:hint="eastAsia" w:eastAsia="黑体"/>
          <w:b/>
          <w:i/>
          <w:color w:val="000000"/>
          <w:sz w:val="30"/>
          <w:szCs w:val="30"/>
          <w:lang w:val="es-ES"/>
        </w:rPr>
        <w:t xml:space="preserve"> Ginkgo</w:t>
      </w:r>
      <w:r>
        <w:rPr>
          <w:rFonts w:hint="eastAsia" w:eastAsia="黑体"/>
          <w:b/>
          <w:i w:val="0"/>
          <w:iCs/>
          <w:color w:val="000000"/>
          <w:sz w:val="30"/>
          <w:szCs w:val="30"/>
          <w:lang w:val="es-ES"/>
        </w:rPr>
        <w:t xml:space="preserve"> L.</w:t>
      </w:r>
    </w:p>
    <w:p>
      <w:pPr>
        <w:spacing w:line="360" w:lineRule="auto"/>
        <w:ind w:firstLine="840" w:firstLineChars="300"/>
        <w:rPr>
          <w:color w:val="0000FF"/>
          <w:szCs w:val="21"/>
        </w:rPr>
      </w:pPr>
      <w:r>
        <w:rPr>
          <w:rFonts w:hint="eastAsia" w:ascii="宋体" w:hAnsi="宋体" w:eastAsia="宋体" w:cs="Times New Roman"/>
          <w:color w:val="auto"/>
          <w:sz w:val="28"/>
          <w:szCs w:val="28"/>
          <w:lang w:val="en-US" w:eastAsia="zh-CN"/>
        </w:rPr>
        <w:t>1、银杏</w:t>
      </w:r>
      <w:r>
        <w:rPr>
          <w:rFonts w:hint="eastAsia" w:ascii="宋体" w:hAnsi="宋体"/>
          <w:color w:val="0000FF"/>
          <w:szCs w:val="21"/>
        </w:rPr>
        <w:t xml:space="preserve"> </w:t>
      </w:r>
      <w:r>
        <w:rPr>
          <w:i/>
          <w:color w:val="000000"/>
          <w:sz w:val="28"/>
          <w:szCs w:val="28"/>
        </w:rPr>
        <w:t>Ginkgo</w:t>
      </w:r>
      <w:r>
        <w:rPr>
          <w:rFonts w:hint="eastAsia"/>
          <w:i/>
          <w:color w:val="000000"/>
          <w:sz w:val="28"/>
          <w:szCs w:val="28"/>
        </w:rPr>
        <w:t xml:space="preserve"> </w:t>
      </w:r>
      <w:r>
        <w:rPr>
          <w:i/>
          <w:color w:val="000000"/>
          <w:sz w:val="28"/>
          <w:szCs w:val="28"/>
        </w:rPr>
        <w:t>biloba</w:t>
      </w:r>
      <w:r>
        <w:rPr>
          <w:i w:val="0"/>
          <w:iCs/>
          <w:color w:val="000000"/>
          <w:sz w:val="28"/>
          <w:szCs w:val="28"/>
        </w:rPr>
        <w:t xml:space="preserve"> L.</w:t>
      </w:r>
      <w:r>
        <w:rPr>
          <w:i/>
          <w:color w:val="000000"/>
          <w:sz w:val="28"/>
          <w:szCs w:val="28"/>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二、松科</w:t>
      </w:r>
      <w:r>
        <w:rPr>
          <w:rFonts w:hint="eastAsia" w:eastAsia="黑体"/>
          <w:b/>
          <w:color w:val="000000"/>
          <w:sz w:val="32"/>
          <w:szCs w:val="32"/>
          <w:lang w:val="en-US" w:eastAsia="zh-CN"/>
        </w:rPr>
        <w:t>Pinaceae</w:t>
      </w:r>
    </w:p>
    <w:p>
      <w:pPr>
        <w:spacing w:line="360" w:lineRule="auto"/>
        <w:ind w:firstLine="600" w:firstLineChars="200"/>
        <w:rPr>
          <w:rFonts w:hint="eastAsia" w:eastAsia="黑体"/>
          <w:b/>
          <w:i/>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w:t>
      </w:r>
      <w:r>
        <w:rPr>
          <w:rFonts w:hint="eastAsia" w:ascii="黑体" w:eastAsia="黑体"/>
          <w:color w:val="000000"/>
          <w:sz w:val="30"/>
          <w:szCs w:val="30"/>
          <w:lang w:val="es-ES"/>
        </w:rPr>
        <w:t xml:space="preserve">）雪松属 </w:t>
      </w:r>
      <w:r>
        <w:rPr>
          <w:rFonts w:hint="eastAsia" w:eastAsia="黑体"/>
          <w:b/>
          <w:i/>
          <w:color w:val="000000"/>
          <w:sz w:val="30"/>
          <w:szCs w:val="30"/>
          <w:lang w:val="es-ES"/>
        </w:rPr>
        <w:t xml:space="preserve">Cedrus </w:t>
      </w:r>
      <w:r>
        <w:rPr>
          <w:rFonts w:hint="eastAsia" w:eastAsia="黑体"/>
          <w:b/>
          <w:i w:val="0"/>
          <w:iCs/>
          <w:color w:val="000000"/>
          <w:sz w:val="30"/>
          <w:szCs w:val="30"/>
          <w:lang w:val="es-ES"/>
        </w:rPr>
        <w:t>Trew</w:t>
      </w:r>
    </w:p>
    <w:p>
      <w:pPr>
        <w:spacing w:line="360" w:lineRule="auto"/>
        <w:ind w:firstLine="840" w:firstLineChars="300"/>
        <w:rPr>
          <w:rFonts w:hint="eastAsia" w:ascii="宋体" w:hAnsi="宋体"/>
          <w:color w:val="auto"/>
          <w:sz w:val="28"/>
          <w:szCs w:val="28"/>
          <w:lang w:val="es-ES"/>
        </w:rPr>
      </w:pPr>
      <w:r>
        <w:rPr>
          <w:rFonts w:hint="eastAsia" w:ascii="宋体" w:hAnsi="宋体" w:eastAsia="宋体" w:cs="Times New Roman"/>
          <w:color w:val="auto"/>
          <w:sz w:val="28"/>
          <w:szCs w:val="28"/>
          <w:lang w:val="en-US" w:eastAsia="zh-CN"/>
        </w:rPr>
        <w:t>2</w:t>
      </w:r>
      <w:r>
        <w:rPr>
          <w:rFonts w:hint="eastAsia" w:ascii="宋体" w:hAnsi="宋体" w:eastAsia="宋体" w:cs="Times New Roman"/>
          <w:color w:val="auto"/>
          <w:sz w:val="28"/>
          <w:szCs w:val="28"/>
          <w:lang w:val="es-ES" w:eastAsia="zh-CN"/>
        </w:rPr>
        <w:t>、雪松</w:t>
      </w:r>
      <w:r>
        <w:rPr>
          <w:rFonts w:hint="eastAsia" w:ascii="宋体" w:hAnsi="宋体"/>
          <w:color w:val="auto"/>
          <w:sz w:val="28"/>
          <w:szCs w:val="28"/>
          <w:lang w:val="es-ES"/>
        </w:rPr>
        <w:t xml:space="preserve"> </w:t>
      </w:r>
      <w:r>
        <w:rPr>
          <w:rFonts w:hint="eastAsia"/>
          <w:i/>
          <w:color w:val="auto"/>
          <w:sz w:val="28"/>
          <w:szCs w:val="28"/>
          <w:lang w:val="es-ES"/>
        </w:rPr>
        <w:t>Cedrus deodara</w:t>
      </w:r>
      <w:r>
        <w:rPr>
          <w:rFonts w:hint="eastAsia"/>
          <w:i w:val="0"/>
          <w:iCs/>
          <w:color w:val="auto"/>
          <w:sz w:val="28"/>
          <w:szCs w:val="28"/>
          <w:lang w:val="es-ES"/>
        </w:rPr>
        <w:t xml:space="preserve"> (Roxb. ) Lord. </w:t>
      </w:r>
      <w:r>
        <w:rPr>
          <w:rFonts w:hint="eastAsia" w:ascii="宋体" w:hAnsi="宋体"/>
          <w:color w:val="auto"/>
          <w:sz w:val="28"/>
          <w:szCs w:val="28"/>
          <w:lang w:val="es-ES"/>
        </w:rPr>
        <w:t xml:space="preserve"> </w:t>
      </w:r>
    </w:p>
    <w:p>
      <w:pPr>
        <w:spacing w:line="360" w:lineRule="auto"/>
        <w:ind w:firstLine="600" w:firstLineChars="200"/>
        <w:rPr>
          <w:rFonts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rPr>
        <w:t>三</w:t>
      </w:r>
      <w:r>
        <w:rPr>
          <w:rFonts w:hint="eastAsia" w:ascii="黑体" w:eastAsia="黑体"/>
          <w:color w:val="000000"/>
          <w:sz w:val="30"/>
          <w:szCs w:val="30"/>
          <w:lang w:val="es-ES"/>
        </w:rPr>
        <w:t>）</w:t>
      </w:r>
      <w:r>
        <w:rPr>
          <w:rFonts w:hint="eastAsia" w:ascii="黑体" w:eastAsia="黑体"/>
          <w:color w:val="000000"/>
          <w:sz w:val="30"/>
          <w:szCs w:val="30"/>
        </w:rPr>
        <w:t>松属</w:t>
      </w:r>
      <w:r>
        <w:rPr>
          <w:rFonts w:eastAsia="黑体"/>
          <w:b/>
          <w:i/>
          <w:color w:val="000000"/>
          <w:sz w:val="30"/>
          <w:szCs w:val="30"/>
          <w:lang w:val="es-ES"/>
        </w:rPr>
        <w:t>Pinus</w:t>
      </w:r>
      <w:r>
        <w:rPr>
          <w:rFonts w:hint="eastAsia" w:eastAsia="黑体"/>
          <w:b/>
          <w:i/>
          <w:color w:val="000000"/>
          <w:sz w:val="30"/>
          <w:szCs w:val="30"/>
          <w:lang w:val="en-US" w:eastAsia="zh-CN"/>
        </w:rPr>
        <w:t xml:space="preserve"> </w:t>
      </w:r>
      <w:r>
        <w:rPr>
          <w:rFonts w:eastAsia="黑体"/>
          <w:b/>
          <w:iCs/>
          <w:color w:val="000000"/>
          <w:sz w:val="30"/>
          <w:szCs w:val="30"/>
          <w:lang w:val="es-ES"/>
        </w:rPr>
        <w:t>L.</w:t>
      </w:r>
    </w:p>
    <w:p>
      <w:pPr>
        <w:spacing w:line="360" w:lineRule="auto"/>
        <w:ind w:firstLine="840" w:firstLineChars="300"/>
        <w:rPr>
          <w:color w:val="auto"/>
          <w:sz w:val="28"/>
          <w:szCs w:val="28"/>
          <w:lang w:val="es-ES"/>
        </w:rPr>
      </w:pPr>
      <w:r>
        <w:rPr>
          <w:rFonts w:hint="eastAsia" w:ascii="宋体" w:hAnsi="宋体" w:eastAsia="宋体" w:cs="Times New Roman"/>
          <w:color w:val="auto"/>
          <w:sz w:val="28"/>
          <w:szCs w:val="28"/>
          <w:lang w:val="en-US" w:eastAsia="zh-CN"/>
        </w:rPr>
        <w:t>3</w:t>
      </w:r>
      <w:r>
        <w:rPr>
          <w:rFonts w:hint="eastAsia" w:ascii="宋体" w:hAnsi="宋体" w:eastAsia="宋体" w:cs="Times New Roman"/>
          <w:color w:val="auto"/>
          <w:sz w:val="28"/>
          <w:szCs w:val="28"/>
          <w:lang w:val="es-ES" w:eastAsia="zh-CN"/>
        </w:rPr>
        <w:t>、</w:t>
      </w:r>
      <w:r>
        <w:rPr>
          <w:rFonts w:hint="eastAsia" w:ascii="宋体" w:hAnsi="宋体" w:eastAsia="宋体" w:cs="Times New Roman"/>
          <w:color w:val="auto"/>
          <w:sz w:val="28"/>
          <w:szCs w:val="28"/>
          <w:lang w:val="en-US" w:eastAsia="zh-CN"/>
        </w:rPr>
        <w:t>华山松</w:t>
      </w:r>
      <w:r>
        <w:rPr>
          <w:bCs/>
          <w:i/>
          <w:color w:val="auto"/>
          <w:sz w:val="28"/>
          <w:szCs w:val="28"/>
          <w:lang w:val="es-ES"/>
        </w:rPr>
        <w:t>Pinus</w:t>
      </w:r>
      <w:r>
        <w:rPr>
          <w:i/>
          <w:color w:val="auto"/>
          <w:sz w:val="28"/>
          <w:szCs w:val="28"/>
          <w:lang w:val="es-ES"/>
        </w:rPr>
        <w:t> </w:t>
      </w:r>
      <w:r>
        <w:rPr>
          <w:bCs/>
          <w:i/>
          <w:color w:val="auto"/>
          <w:sz w:val="28"/>
          <w:szCs w:val="28"/>
          <w:lang w:val="es-ES"/>
        </w:rPr>
        <w:t>armandii</w:t>
      </w:r>
      <w:r>
        <w:rPr>
          <w:i/>
          <w:color w:val="auto"/>
          <w:sz w:val="28"/>
          <w:szCs w:val="28"/>
          <w:lang w:val="es-ES"/>
        </w:rPr>
        <w:t> </w:t>
      </w:r>
      <w:r>
        <w:rPr>
          <w:color w:val="auto"/>
          <w:sz w:val="28"/>
          <w:szCs w:val="28"/>
          <w:lang w:val="es-ES"/>
        </w:rPr>
        <w:t>Franch.</w:t>
      </w:r>
    </w:p>
    <w:p>
      <w:pPr>
        <w:spacing w:line="360" w:lineRule="auto"/>
        <w:ind w:firstLine="840" w:firstLineChars="300"/>
        <w:rPr>
          <w:rFonts w:ascii="宋体"/>
          <w:color w:val="auto"/>
          <w:sz w:val="28"/>
          <w:szCs w:val="28"/>
        </w:rPr>
      </w:pPr>
      <w:r>
        <w:rPr>
          <w:rFonts w:hint="eastAsia" w:ascii="宋体" w:hAnsi="宋体" w:eastAsia="宋体" w:cs="Times New Roman"/>
          <w:color w:val="auto"/>
          <w:sz w:val="28"/>
          <w:szCs w:val="28"/>
          <w:lang w:val="en-US" w:eastAsia="zh-CN"/>
        </w:rPr>
        <w:t>4、白皮松</w:t>
      </w:r>
      <w:r>
        <w:rPr>
          <w:rFonts w:eastAsia="仿宋_GB2312"/>
          <w:i/>
          <w:color w:val="auto"/>
          <w:sz w:val="28"/>
          <w:szCs w:val="28"/>
        </w:rPr>
        <w:t xml:space="preserve"> Pinus bungeana </w:t>
      </w:r>
      <w:r>
        <w:rPr>
          <w:rFonts w:eastAsia="仿宋_GB2312"/>
          <w:color w:val="auto"/>
          <w:sz w:val="28"/>
          <w:szCs w:val="28"/>
        </w:rPr>
        <w:t>Zucc.</w:t>
      </w:r>
    </w:p>
    <w:p>
      <w:pPr>
        <w:autoSpaceDE w:val="0"/>
        <w:autoSpaceDN w:val="0"/>
        <w:ind w:firstLine="840" w:firstLineChars="300"/>
        <w:rPr>
          <w:rFonts w:ascii="宋体"/>
          <w:color w:val="auto"/>
          <w:sz w:val="28"/>
          <w:szCs w:val="28"/>
          <w:lang w:val="es-ES"/>
        </w:rPr>
      </w:pPr>
      <w:r>
        <w:rPr>
          <w:rFonts w:hint="eastAsia" w:ascii="宋体" w:hAnsi="宋体" w:eastAsia="宋体" w:cs="Times New Roman"/>
          <w:color w:val="auto"/>
          <w:sz w:val="28"/>
          <w:szCs w:val="28"/>
          <w:lang w:val="en-US" w:eastAsia="zh-CN"/>
        </w:rPr>
        <w:t>5</w:t>
      </w:r>
      <w:r>
        <w:rPr>
          <w:rFonts w:hint="eastAsia" w:ascii="宋体" w:hAnsi="宋体" w:eastAsia="宋体" w:cs="Times New Roman"/>
          <w:color w:val="auto"/>
          <w:sz w:val="28"/>
          <w:szCs w:val="28"/>
          <w:lang w:val="es-ES" w:eastAsia="zh-CN"/>
        </w:rPr>
        <w:t>、油松</w:t>
      </w:r>
      <w:r>
        <w:rPr>
          <w:rFonts w:hint="eastAsia"/>
          <w:color w:val="auto"/>
          <w:sz w:val="28"/>
          <w:szCs w:val="28"/>
        </w:rPr>
        <w:t xml:space="preserve"> </w:t>
      </w:r>
      <w:r>
        <w:rPr>
          <w:i/>
          <w:color w:val="auto"/>
          <w:sz w:val="28"/>
          <w:szCs w:val="28"/>
          <w:lang w:val="es-ES"/>
        </w:rPr>
        <w:t xml:space="preserve">Pinus tabuliformis </w:t>
      </w:r>
      <w:r>
        <w:rPr>
          <w:color w:val="auto"/>
          <w:sz w:val="28"/>
          <w:szCs w:val="28"/>
          <w:lang w:val="es-ES"/>
        </w:rPr>
        <w:t>Carr.</w:t>
      </w:r>
    </w:p>
    <w:p>
      <w:pPr>
        <w:spacing w:line="360" w:lineRule="auto"/>
        <w:ind w:firstLine="840" w:firstLineChars="300"/>
        <w:rPr>
          <w:rFonts w:eastAsia="仿宋_GB2312"/>
          <w:szCs w:val="21"/>
        </w:rPr>
      </w:pPr>
      <w:r>
        <w:rPr>
          <w:rFonts w:hint="eastAsia" w:ascii="宋体" w:hAnsi="宋体" w:eastAsia="宋体" w:cs="Times New Roman"/>
          <w:color w:val="auto"/>
          <w:sz w:val="28"/>
          <w:szCs w:val="28"/>
          <w:lang w:val="es-ES" w:eastAsia="zh-CN"/>
        </w:rPr>
        <w:t>6</w:t>
      </w:r>
      <w:r>
        <w:rPr>
          <w:rFonts w:hint="eastAsia" w:ascii="宋体" w:hAnsi="宋体" w:eastAsia="宋体" w:cs="Times New Roman"/>
          <w:color w:val="auto"/>
          <w:sz w:val="28"/>
          <w:szCs w:val="28"/>
          <w:lang w:val="en-US" w:eastAsia="zh-CN"/>
        </w:rPr>
        <w:t>、黑松</w:t>
      </w:r>
      <w:r>
        <w:rPr>
          <w:rFonts w:eastAsia="仿宋_GB2312"/>
          <w:i/>
          <w:color w:val="auto"/>
          <w:sz w:val="28"/>
          <w:szCs w:val="28"/>
          <w:lang w:val="es-ES"/>
        </w:rPr>
        <w:t>Pinus</w:t>
      </w:r>
      <w:r>
        <w:rPr>
          <w:rFonts w:hint="eastAsia" w:eastAsia="仿宋_GB2312"/>
          <w:i/>
          <w:color w:val="auto"/>
          <w:sz w:val="28"/>
          <w:szCs w:val="28"/>
        </w:rPr>
        <w:t xml:space="preserve"> </w:t>
      </w:r>
      <w:r>
        <w:rPr>
          <w:rFonts w:eastAsia="仿宋_GB2312"/>
          <w:i/>
          <w:color w:val="auto"/>
          <w:sz w:val="28"/>
          <w:szCs w:val="28"/>
          <w:lang w:val="es-ES"/>
        </w:rPr>
        <w:t>thunbergii</w:t>
      </w:r>
      <w:r>
        <w:rPr>
          <w:rFonts w:eastAsia="仿宋_GB2312"/>
          <w:color w:val="auto"/>
          <w:sz w:val="28"/>
          <w:szCs w:val="28"/>
          <w:lang w:val="es-ES"/>
        </w:rPr>
        <w:t xml:space="preserve"> Parl.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三、杉科</w:t>
      </w:r>
      <w:r>
        <w:rPr>
          <w:rFonts w:hint="eastAsia" w:eastAsia="黑体"/>
          <w:b/>
          <w:color w:val="000000"/>
          <w:sz w:val="32"/>
          <w:szCs w:val="32"/>
          <w:lang w:val="en-US" w:eastAsia="zh-CN"/>
        </w:rPr>
        <w:t>Taxodiaceae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w:t>
      </w:r>
      <w:r>
        <w:rPr>
          <w:rFonts w:hint="eastAsia" w:ascii="黑体" w:eastAsia="黑体"/>
          <w:color w:val="000000"/>
          <w:sz w:val="30"/>
          <w:szCs w:val="30"/>
          <w:lang w:val="es-ES"/>
        </w:rPr>
        <w:t xml:space="preserve">）水杉属 </w:t>
      </w:r>
      <w:r>
        <w:rPr>
          <w:rFonts w:hint="eastAsia" w:eastAsia="黑体"/>
          <w:b/>
          <w:i/>
          <w:color w:val="000000"/>
          <w:sz w:val="30"/>
          <w:szCs w:val="30"/>
          <w:lang w:val="es-ES"/>
        </w:rPr>
        <w:t>Metasequoia</w:t>
      </w:r>
      <w:r>
        <w:rPr>
          <w:rFonts w:hint="eastAsia" w:eastAsia="黑体"/>
          <w:b/>
          <w:i w:val="0"/>
          <w:iCs/>
          <w:color w:val="000000"/>
          <w:sz w:val="30"/>
          <w:szCs w:val="30"/>
          <w:lang w:val="es-ES"/>
        </w:rPr>
        <w:t xml:space="preserve"> Miki cx Hu et Cheng</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7、水杉</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Metasequoia gryptostroboides </w:t>
      </w:r>
      <w:r>
        <w:rPr>
          <w:rFonts w:hint="eastAsia"/>
          <w:i w:val="0"/>
          <w:iCs/>
          <w:color w:val="auto"/>
          <w:sz w:val="28"/>
          <w:szCs w:val="28"/>
          <w:lang w:val="en-US" w:eastAsia="zh-CN"/>
        </w:rPr>
        <w:t xml:space="preserve">Hu et Cheng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五</w:t>
      </w:r>
      <w:r>
        <w:rPr>
          <w:rFonts w:hint="eastAsia" w:ascii="黑体" w:eastAsia="黑体"/>
          <w:color w:val="000000"/>
          <w:sz w:val="30"/>
          <w:szCs w:val="30"/>
          <w:lang w:val="es-ES"/>
        </w:rPr>
        <w:t xml:space="preserve">）落羽杉属 </w:t>
      </w:r>
      <w:r>
        <w:rPr>
          <w:rFonts w:hint="eastAsia" w:eastAsia="黑体"/>
          <w:b/>
          <w:i/>
          <w:iCs w:val="0"/>
          <w:color w:val="000000"/>
          <w:sz w:val="30"/>
          <w:szCs w:val="30"/>
          <w:lang w:val="es-ES"/>
        </w:rPr>
        <w:t xml:space="preserve">Taxodium </w:t>
      </w:r>
      <w:r>
        <w:rPr>
          <w:rFonts w:hint="eastAsia" w:eastAsia="黑体"/>
          <w:b/>
          <w:i w:val="0"/>
          <w:iCs/>
          <w:color w:val="000000"/>
          <w:sz w:val="30"/>
          <w:szCs w:val="30"/>
          <w:lang w:val="es-ES"/>
        </w:rPr>
        <w:t>Rich.</w:t>
      </w:r>
    </w:p>
    <w:p>
      <w:pPr>
        <w:spacing w:line="360" w:lineRule="auto"/>
        <w:ind w:firstLine="840" w:firstLineChars="300"/>
        <w:rPr>
          <w:rFonts w:hint="eastAsia" w:ascii="宋体" w:hAnsi="宋体"/>
          <w:color w:val="auto"/>
          <w:sz w:val="28"/>
          <w:szCs w:val="28"/>
          <w:lang w:val="es-ES"/>
        </w:rPr>
      </w:pPr>
      <w:r>
        <w:rPr>
          <w:rFonts w:hint="eastAsia" w:ascii="宋体" w:hAnsi="宋体" w:eastAsia="宋体" w:cs="Times New Roman"/>
          <w:color w:val="auto"/>
          <w:sz w:val="28"/>
          <w:szCs w:val="28"/>
          <w:lang w:val="en-US" w:eastAsia="zh-CN"/>
        </w:rPr>
        <w:t>8</w:t>
      </w:r>
      <w:r>
        <w:rPr>
          <w:rFonts w:hint="eastAsia" w:ascii="宋体" w:hAnsi="宋体" w:eastAsia="宋体" w:cs="Times New Roman"/>
          <w:color w:val="auto"/>
          <w:sz w:val="28"/>
          <w:szCs w:val="28"/>
          <w:lang w:val="es-ES" w:eastAsia="zh-CN"/>
        </w:rPr>
        <w:t>、中山杉</w:t>
      </w:r>
      <w:r>
        <w:rPr>
          <w:rFonts w:hint="eastAsia"/>
          <w:i/>
          <w:color w:val="auto"/>
          <w:sz w:val="28"/>
          <w:szCs w:val="28"/>
          <w:lang w:val="es-ES" w:eastAsia="zh-CN"/>
        </w:rPr>
        <w:t xml:space="preserve">Taxodium distichum </w:t>
      </w:r>
      <w:r>
        <w:rPr>
          <w:rFonts w:hint="eastAsia"/>
          <w:i w:val="0"/>
          <w:iCs/>
          <w:color w:val="auto"/>
          <w:sz w:val="28"/>
          <w:szCs w:val="28"/>
          <w:lang w:val="es-ES" w:eastAsia="zh-CN"/>
        </w:rPr>
        <w:t>Brongn×</w:t>
      </w:r>
      <w:r>
        <w:rPr>
          <w:rFonts w:hint="eastAsia"/>
          <w:i/>
          <w:color w:val="auto"/>
          <w:sz w:val="28"/>
          <w:szCs w:val="28"/>
          <w:lang w:val="es-ES" w:eastAsia="zh-CN"/>
        </w:rPr>
        <w:t xml:space="preserve">Taxodium mucronatum </w:t>
      </w:r>
      <w:r>
        <w:rPr>
          <w:rFonts w:hint="eastAsia"/>
          <w:i w:val="0"/>
          <w:iCs/>
          <w:color w:val="auto"/>
          <w:sz w:val="28"/>
          <w:szCs w:val="28"/>
          <w:lang w:val="es-ES" w:eastAsia="zh-CN"/>
        </w:rPr>
        <w:t>Tenore</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四、柏科</w:t>
      </w:r>
      <w:r>
        <w:rPr>
          <w:rFonts w:hint="eastAsia" w:eastAsia="黑体"/>
          <w:b/>
          <w:color w:val="000000"/>
          <w:sz w:val="32"/>
          <w:szCs w:val="32"/>
          <w:lang w:val="en-US" w:eastAsia="zh-CN"/>
        </w:rPr>
        <w:t>Cupressaceae</w:t>
      </w:r>
    </w:p>
    <w:p>
      <w:pPr>
        <w:spacing w:line="360" w:lineRule="auto"/>
        <w:ind w:firstLine="600" w:firstLineChars="200"/>
        <w:rPr>
          <w:rFonts w:hint="eastAsia" w:ascii="黑体" w:eastAsia="黑体"/>
          <w:i w:val="0"/>
          <w:iCs/>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六</w:t>
      </w:r>
      <w:r>
        <w:rPr>
          <w:rFonts w:hint="eastAsia" w:ascii="黑体" w:eastAsia="黑体"/>
          <w:color w:val="000000"/>
          <w:sz w:val="30"/>
          <w:szCs w:val="30"/>
          <w:lang w:val="es-ES"/>
        </w:rPr>
        <w:t>）侧柏属</w:t>
      </w:r>
      <w:r>
        <w:rPr>
          <w:rFonts w:hint="eastAsia" w:eastAsia="黑体"/>
          <w:b/>
          <w:i/>
          <w:iCs w:val="0"/>
          <w:color w:val="000000"/>
          <w:sz w:val="30"/>
          <w:szCs w:val="30"/>
          <w:lang w:val="es-ES"/>
        </w:rPr>
        <w:t xml:space="preserve"> Platycladus</w:t>
      </w:r>
      <w:r>
        <w:rPr>
          <w:rFonts w:hint="eastAsia" w:eastAsia="黑体"/>
          <w:b/>
          <w:i w:val="0"/>
          <w:iCs/>
          <w:color w:val="000000"/>
          <w:sz w:val="30"/>
          <w:szCs w:val="30"/>
          <w:lang w:val="es-ES"/>
        </w:rPr>
        <w:t xml:space="preserve"> Spach</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9、侧柏</w:t>
      </w:r>
      <w:r>
        <w:rPr>
          <w:rFonts w:hint="eastAsia" w:ascii="宋体" w:hAnsi="宋体"/>
          <w:color w:val="auto"/>
          <w:sz w:val="28"/>
          <w:szCs w:val="28"/>
          <w:lang w:val="en-US" w:eastAsia="zh-CN"/>
        </w:rPr>
        <w:t xml:space="preserve"> </w:t>
      </w:r>
      <w:r>
        <w:rPr>
          <w:rFonts w:hint="eastAsia"/>
          <w:i/>
          <w:color w:val="auto"/>
          <w:sz w:val="28"/>
          <w:szCs w:val="28"/>
          <w:lang w:val="en-US" w:eastAsia="zh-CN"/>
        </w:rPr>
        <w:t>Platycladus orientalis</w:t>
      </w:r>
      <w:r>
        <w:rPr>
          <w:rFonts w:hint="eastAsia"/>
          <w:i w:val="0"/>
          <w:iCs/>
          <w:color w:val="auto"/>
          <w:sz w:val="28"/>
          <w:szCs w:val="28"/>
          <w:lang w:val="en-US" w:eastAsia="zh-CN"/>
        </w:rPr>
        <w:t xml:space="preserve">（L.）Franco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七</w:t>
      </w:r>
      <w:r>
        <w:rPr>
          <w:rFonts w:hint="eastAsia" w:ascii="黑体" w:eastAsia="黑体"/>
          <w:color w:val="000000"/>
          <w:sz w:val="30"/>
          <w:szCs w:val="30"/>
          <w:lang w:val="es-ES"/>
        </w:rPr>
        <w:t xml:space="preserve">）圆柏属 </w:t>
      </w:r>
      <w:r>
        <w:rPr>
          <w:rFonts w:hint="eastAsia" w:eastAsia="黑体"/>
          <w:b/>
          <w:i/>
          <w:iCs w:val="0"/>
          <w:color w:val="000000"/>
          <w:sz w:val="30"/>
          <w:szCs w:val="30"/>
          <w:lang w:val="es-ES"/>
        </w:rPr>
        <w:t xml:space="preserve">Sabina </w:t>
      </w:r>
      <w:r>
        <w:rPr>
          <w:rFonts w:hint="eastAsia" w:eastAsia="黑体"/>
          <w:b/>
          <w:i w:val="0"/>
          <w:iCs/>
          <w:color w:val="000000"/>
          <w:sz w:val="30"/>
          <w:szCs w:val="30"/>
          <w:lang w:val="es-ES"/>
        </w:rPr>
        <w:t>Mill.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10、圆柏 </w:t>
      </w:r>
      <w:r>
        <w:rPr>
          <w:rFonts w:hint="eastAsia"/>
          <w:i/>
          <w:color w:val="auto"/>
          <w:sz w:val="28"/>
          <w:szCs w:val="28"/>
          <w:lang w:val="en-US" w:eastAsia="zh-CN"/>
        </w:rPr>
        <w:t>Sabina chinensis</w:t>
      </w:r>
      <w:r>
        <w:rPr>
          <w:rFonts w:hint="eastAsia"/>
          <w:i w:val="0"/>
          <w:iCs/>
          <w:color w:val="auto"/>
          <w:sz w:val="28"/>
          <w:szCs w:val="28"/>
          <w:lang w:val="en-US" w:eastAsia="zh-CN"/>
        </w:rPr>
        <w:t>（L.）Ant.</w:t>
      </w:r>
    </w:p>
    <w:p>
      <w:pPr>
        <w:spacing w:line="440" w:lineRule="exact"/>
        <w:ind w:firstLine="840" w:firstLineChars="300"/>
        <w:rPr>
          <w:szCs w:val="21"/>
        </w:rPr>
      </w:pPr>
    </w:p>
    <w:p>
      <w:pPr>
        <w:spacing w:line="360" w:lineRule="auto"/>
        <w:jc w:val="center"/>
        <w:rPr>
          <w:rFonts w:hint="eastAsia" w:ascii="宋体" w:hAnsi="宋体" w:eastAsia="宋体" w:cs="宋体"/>
          <w:b/>
          <w:color w:val="000000"/>
          <w:sz w:val="36"/>
          <w:szCs w:val="36"/>
          <w:lang w:val="es-ES"/>
        </w:rPr>
      </w:pPr>
      <w:r>
        <w:rPr>
          <w:rFonts w:hint="eastAsia" w:ascii="宋体" w:hAnsi="宋体" w:eastAsia="宋体" w:cs="宋体"/>
          <w:b/>
          <w:bCs/>
          <w:color w:val="000000"/>
          <w:sz w:val="36"/>
          <w:szCs w:val="36"/>
          <w:lang w:val="en-US" w:eastAsia="zh-CN"/>
        </w:rPr>
        <w:t>II</w:t>
      </w:r>
      <w:r>
        <w:rPr>
          <w:rFonts w:hint="eastAsia" w:ascii="宋体" w:hAnsi="宋体" w:eastAsia="宋体" w:cs="宋体"/>
          <w:b/>
          <w:bCs/>
          <w:color w:val="000000"/>
          <w:sz w:val="36"/>
          <w:szCs w:val="36"/>
          <w:lang w:val="es-ES"/>
        </w:rPr>
        <w:t>.</w:t>
      </w:r>
      <w:r>
        <w:rPr>
          <w:rFonts w:hint="eastAsia" w:ascii="宋体" w:hAnsi="宋体" w:eastAsia="宋体" w:cs="宋体"/>
          <w:b/>
          <w:bCs/>
          <w:color w:val="000000"/>
          <w:sz w:val="36"/>
          <w:szCs w:val="36"/>
        </w:rPr>
        <w:t>被子植物门</w:t>
      </w:r>
      <w:r>
        <w:rPr>
          <w:rFonts w:hint="eastAsia" w:ascii="宋体" w:hAnsi="宋体" w:eastAsia="宋体" w:cs="宋体"/>
          <w:b/>
          <w:color w:val="000000"/>
          <w:sz w:val="36"/>
          <w:szCs w:val="36"/>
          <w:lang w:val="es-ES"/>
        </w:rPr>
        <w:t>ANGIOSPERMAE</w:t>
      </w:r>
    </w:p>
    <w:p>
      <w:pPr>
        <w:spacing w:line="360" w:lineRule="auto"/>
        <w:jc w:val="center"/>
        <w:rPr>
          <w:rFonts w:ascii="黑体" w:eastAsia="黑体"/>
          <w:color w:val="000000"/>
          <w:szCs w:val="21"/>
          <w:lang w:val="es-ES"/>
        </w:rPr>
      </w:pPr>
      <w:r>
        <w:rPr>
          <w:rFonts w:hint="eastAsia" w:ascii="黑体" w:eastAsia="黑体"/>
          <w:color w:val="000000"/>
          <w:szCs w:val="21"/>
          <w:lang w:val="es-ES"/>
        </w:rPr>
        <w:t>（</w:t>
      </w:r>
      <w:r>
        <w:rPr>
          <w:rFonts w:hint="eastAsia" w:ascii="黑体" w:eastAsia="黑体"/>
          <w:color w:val="000000"/>
          <w:szCs w:val="21"/>
        </w:rPr>
        <w:t>按照</w:t>
      </w:r>
      <w:r>
        <w:rPr>
          <w:rFonts w:ascii="黑体" w:eastAsia="黑体"/>
          <w:color w:val="000000"/>
          <w:szCs w:val="21"/>
          <w:lang w:val="es-ES"/>
        </w:rPr>
        <w:t>1964</w:t>
      </w:r>
      <w:r>
        <w:rPr>
          <w:rFonts w:hint="eastAsia" w:ascii="黑体" w:eastAsia="黑体"/>
          <w:color w:val="000000"/>
          <w:szCs w:val="21"/>
        </w:rPr>
        <w:t>年恩格勒系统排列</w:t>
      </w:r>
      <w:r>
        <w:rPr>
          <w:rFonts w:hint="eastAsia" w:ascii="黑体" w:eastAsia="黑体"/>
          <w:color w:val="000000"/>
          <w:szCs w:val="21"/>
          <w:lang w:val="es-ES"/>
        </w:rPr>
        <w:t>）</w:t>
      </w:r>
    </w:p>
    <w:p>
      <w:pPr>
        <w:spacing w:line="440" w:lineRule="exact"/>
        <w:rPr>
          <w:rFonts w:ascii="黑体" w:eastAsia="黑体"/>
          <w:szCs w:val="21"/>
        </w:rPr>
      </w:pP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五、胡桃科</w:t>
      </w:r>
      <w:r>
        <w:rPr>
          <w:rFonts w:hint="eastAsia" w:eastAsia="黑体"/>
          <w:b/>
          <w:color w:val="000000"/>
          <w:sz w:val="32"/>
          <w:szCs w:val="32"/>
          <w:lang w:val="en-US" w:eastAsia="zh-CN"/>
        </w:rPr>
        <w:t>Juglandaceae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八</w:t>
      </w:r>
      <w:r>
        <w:rPr>
          <w:rFonts w:hint="eastAsia" w:ascii="黑体" w:eastAsia="黑体"/>
          <w:color w:val="000000"/>
          <w:sz w:val="30"/>
          <w:szCs w:val="30"/>
          <w:lang w:val="es-ES"/>
        </w:rPr>
        <w:t>）胡桃属</w:t>
      </w:r>
      <w:r>
        <w:rPr>
          <w:rFonts w:hint="eastAsia" w:eastAsia="黑体"/>
          <w:b/>
          <w:i/>
          <w:iCs w:val="0"/>
          <w:color w:val="000000"/>
          <w:sz w:val="30"/>
          <w:szCs w:val="30"/>
          <w:lang w:val="es-ES"/>
        </w:rPr>
        <w:t>Juglans</w:t>
      </w:r>
      <w:r>
        <w:rPr>
          <w:rFonts w:hint="eastAsia" w:eastAsia="黑体"/>
          <w:b/>
          <w:i w:val="0"/>
          <w:iCs/>
          <w:color w:val="000000"/>
          <w:sz w:val="30"/>
          <w:szCs w:val="30"/>
          <w:lang w:val="es-ES"/>
        </w:rPr>
        <w:t xml:space="preserve"> 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11、核桃 </w:t>
      </w:r>
      <w:r>
        <w:rPr>
          <w:rFonts w:hint="eastAsia"/>
          <w:i/>
          <w:color w:val="auto"/>
          <w:sz w:val="28"/>
          <w:szCs w:val="28"/>
          <w:lang w:val="en-US" w:eastAsia="zh-CN"/>
        </w:rPr>
        <w:t xml:space="preserve">Juglans regia </w:t>
      </w:r>
      <w:r>
        <w:rPr>
          <w:rFonts w:hint="eastAsia"/>
          <w:i w:val="0"/>
          <w:iCs/>
          <w:color w:val="auto"/>
          <w:sz w:val="28"/>
          <w:szCs w:val="28"/>
          <w:lang w:val="en-US" w:eastAsia="zh-CN"/>
        </w:rPr>
        <w:t xml:space="preserve">L.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六、杨柳科</w:t>
      </w:r>
      <w:r>
        <w:rPr>
          <w:rFonts w:hint="eastAsia" w:eastAsia="黑体"/>
          <w:b/>
          <w:color w:val="000000"/>
          <w:sz w:val="32"/>
          <w:szCs w:val="32"/>
          <w:lang w:val="en-US" w:eastAsia="zh-CN"/>
        </w:rPr>
        <w:t>Salicaceae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九</w:t>
      </w:r>
      <w:r>
        <w:rPr>
          <w:rFonts w:hint="eastAsia" w:ascii="黑体" w:eastAsia="黑体"/>
          <w:color w:val="000000"/>
          <w:sz w:val="30"/>
          <w:szCs w:val="30"/>
          <w:lang w:val="es-ES"/>
        </w:rPr>
        <w:t xml:space="preserve">）杨属 </w:t>
      </w:r>
      <w:r>
        <w:rPr>
          <w:rFonts w:hint="eastAsia" w:eastAsia="黑体"/>
          <w:b/>
          <w:i/>
          <w:iCs w:val="0"/>
          <w:color w:val="000000"/>
          <w:sz w:val="30"/>
          <w:szCs w:val="30"/>
          <w:lang w:val="es-ES"/>
        </w:rPr>
        <w:t xml:space="preserve">Populus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12、加杨 </w:t>
      </w:r>
      <w:r>
        <w:rPr>
          <w:rFonts w:hint="eastAsia"/>
          <w:i/>
          <w:color w:val="auto"/>
          <w:sz w:val="28"/>
          <w:szCs w:val="28"/>
          <w:lang w:val="en-US" w:eastAsia="zh-CN"/>
        </w:rPr>
        <w:t>Populus canadensis</w:t>
      </w:r>
      <w:r>
        <w:rPr>
          <w:rFonts w:hint="eastAsia"/>
          <w:i w:val="0"/>
          <w:iCs/>
          <w:color w:val="auto"/>
          <w:sz w:val="28"/>
          <w:szCs w:val="28"/>
          <w:lang w:val="en-US" w:eastAsia="zh-CN"/>
        </w:rPr>
        <w:t xml:space="preserve"> Moench </w:t>
      </w:r>
      <w:r>
        <w:rPr>
          <w:rFonts w:hint="eastAsia" w:ascii="宋体" w:hAnsi="宋体"/>
          <w:i w:val="0"/>
          <w:iCs/>
          <w:color w:val="auto"/>
          <w:sz w:val="28"/>
          <w:szCs w:val="28"/>
          <w:lang w:val="en-US" w:eastAsia="zh-CN"/>
        </w:rPr>
        <w:t xml:space="preserve">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w:t>
      </w:r>
      <w:r>
        <w:rPr>
          <w:rFonts w:hint="eastAsia" w:ascii="黑体" w:eastAsia="黑体"/>
          <w:color w:val="000000"/>
          <w:sz w:val="30"/>
          <w:szCs w:val="30"/>
          <w:lang w:val="es-ES"/>
        </w:rPr>
        <w:t>）柳属</w:t>
      </w:r>
      <w:r>
        <w:rPr>
          <w:rFonts w:hint="eastAsia" w:eastAsia="黑体"/>
          <w:b/>
          <w:i/>
          <w:iCs w:val="0"/>
          <w:color w:val="000000"/>
          <w:sz w:val="30"/>
          <w:szCs w:val="30"/>
          <w:lang w:val="es-ES"/>
        </w:rPr>
        <w:t xml:space="preserve">Salix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13、旱柳</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Salix matsudana </w:t>
      </w:r>
      <w:r>
        <w:rPr>
          <w:rFonts w:hint="eastAsia"/>
          <w:i w:val="0"/>
          <w:iCs/>
          <w:color w:val="auto"/>
          <w:sz w:val="28"/>
          <w:szCs w:val="28"/>
          <w:lang w:val="en-US" w:eastAsia="zh-CN"/>
        </w:rPr>
        <w:t>Koiz.</w:t>
      </w:r>
      <w:r>
        <w:rPr>
          <w:rFonts w:hint="eastAsia"/>
          <w:i/>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七、榆科</w:t>
      </w:r>
      <w:r>
        <w:rPr>
          <w:rFonts w:hint="eastAsia" w:eastAsia="黑体"/>
          <w:b/>
          <w:color w:val="000000"/>
          <w:sz w:val="32"/>
          <w:szCs w:val="32"/>
          <w:lang w:val="en-US" w:eastAsia="zh-CN"/>
        </w:rPr>
        <w:t>Ulmaceae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十一</w:t>
      </w:r>
      <w:r>
        <w:rPr>
          <w:rFonts w:hint="eastAsia" w:ascii="黑体" w:eastAsia="黑体"/>
          <w:color w:val="000000"/>
          <w:sz w:val="30"/>
          <w:szCs w:val="30"/>
          <w:lang w:val="es-ES"/>
        </w:rPr>
        <w:t xml:space="preserve">）榆属 </w:t>
      </w:r>
      <w:r>
        <w:rPr>
          <w:rFonts w:hint="eastAsia" w:eastAsia="黑体"/>
          <w:b/>
          <w:i/>
          <w:iCs w:val="0"/>
          <w:color w:val="000000"/>
          <w:sz w:val="30"/>
          <w:szCs w:val="30"/>
          <w:lang w:val="es-ES"/>
        </w:rPr>
        <w:t xml:space="preserve">Ulmus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14、榆树</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Ulmus pumila </w:t>
      </w:r>
      <w:r>
        <w:rPr>
          <w:rFonts w:hint="eastAsia"/>
          <w:i w:val="0"/>
          <w:iCs/>
          <w:color w:val="auto"/>
          <w:sz w:val="28"/>
          <w:szCs w:val="28"/>
          <w:lang w:val="en-US" w:eastAsia="zh-CN"/>
        </w:rPr>
        <w:t xml:space="preserve">L.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 xml:space="preserve">（十二）朴属 </w:t>
      </w:r>
      <w:r>
        <w:rPr>
          <w:rFonts w:hint="eastAsia" w:eastAsia="黑体"/>
          <w:b/>
          <w:i/>
          <w:iCs w:val="0"/>
          <w:color w:val="000000"/>
          <w:sz w:val="30"/>
          <w:szCs w:val="30"/>
          <w:lang w:val="es-ES"/>
        </w:rPr>
        <w:t>Celtis</w:t>
      </w:r>
      <w:r>
        <w:rPr>
          <w:rFonts w:hint="eastAsia" w:eastAsia="黑体"/>
          <w:b/>
          <w:i/>
          <w:iCs w:val="0"/>
          <w:color w:val="000000"/>
          <w:sz w:val="30"/>
          <w:szCs w:val="30"/>
          <w:lang w:val="en-US" w:eastAsia="zh-CN"/>
        </w:rPr>
        <w:t xml:space="preserve">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15、朴树</w:t>
      </w:r>
      <w:r>
        <w:rPr>
          <w:rFonts w:hint="eastAsia" w:ascii="宋体" w:hAnsi="宋体"/>
          <w:color w:val="auto"/>
          <w:sz w:val="28"/>
          <w:szCs w:val="28"/>
          <w:lang w:val="en-US" w:eastAsia="zh-CN"/>
        </w:rPr>
        <w:t xml:space="preserve"> </w:t>
      </w:r>
      <w:r>
        <w:rPr>
          <w:rFonts w:hint="eastAsia"/>
          <w:i/>
          <w:color w:val="auto"/>
          <w:sz w:val="28"/>
          <w:szCs w:val="28"/>
          <w:lang w:val="en-US" w:eastAsia="zh-CN"/>
        </w:rPr>
        <w:t>Celtis sinensis</w:t>
      </w:r>
      <w:r>
        <w:rPr>
          <w:rFonts w:hint="eastAsia"/>
          <w:i w:val="0"/>
          <w:iCs/>
          <w:color w:val="auto"/>
          <w:sz w:val="28"/>
          <w:szCs w:val="28"/>
          <w:lang w:val="en-US" w:eastAsia="zh-CN"/>
        </w:rPr>
        <w:t xml:space="preserve"> Pers.</w:t>
      </w:r>
      <w:r>
        <w:rPr>
          <w:rFonts w:hint="eastAsia" w:ascii="宋体" w:hAnsi="宋体"/>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八、杜仲科</w:t>
      </w:r>
      <w:r>
        <w:rPr>
          <w:rFonts w:hint="eastAsia" w:eastAsia="黑体"/>
          <w:b/>
          <w:color w:val="000000"/>
          <w:sz w:val="32"/>
          <w:szCs w:val="32"/>
          <w:lang w:val="en-US" w:eastAsia="zh-CN"/>
        </w:rPr>
        <w:t>Eucommiaceae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十三</w:t>
      </w:r>
      <w:r>
        <w:rPr>
          <w:rFonts w:hint="eastAsia" w:ascii="黑体" w:eastAsia="黑体"/>
          <w:color w:val="000000"/>
          <w:sz w:val="30"/>
          <w:szCs w:val="30"/>
          <w:lang w:val="es-ES"/>
        </w:rPr>
        <w:t>）杜仲属</w:t>
      </w:r>
      <w:r>
        <w:rPr>
          <w:rFonts w:hint="eastAsia" w:eastAsia="黑体"/>
          <w:b/>
          <w:i/>
          <w:iCs w:val="0"/>
          <w:color w:val="000000"/>
          <w:sz w:val="30"/>
          <w:szCs w:val="30"/>
          <w:lang w:val="es-ES"/>
        </w:rPr>
        <w:t xml:space="preserve">Eucommia </w:t>
      </w:r>
      <w:r>
        <w:rPr>
          <w:rFonts w:hint="eastAsia" w:eastAsia="黑体"/>
          <w:b/>
          <w:i w:val="0"/>
          <w:iCs/>
          <w:color w:val="000000"/>
          <w:sz w:val="30"/>
          <w:szCs w:val="30"/>
          <w:lang w:val="es-ES"/>
        </w:rPr>
        <w:t>Oliver</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16、杜仲 </w:t>
      </w:r>
      <w:r>
        <w:rPr>
          <w:rFonts w:hint="eastAsia"/>
          <w:i/>
          <w:color w:val="auto"/>
          <w:sz w:val="28"/>
          <w:szCs w:val="28"/>
          <w:lang w:val="en-US" w:eastAsia="zh-CN"/>
        </w:rPr>
        <w:t>Eucommia ulmoides</w:t>
      </w:r>
      <w:r>
        <w:rPr>
          <w:rFonts w:hint="eastAsia"/>
          <w:i w:val="0"/>
          <w:iCs/>
          <w:color w:val="auto"/>
          <w:sz w:val="28"/>
          <w:szCs w:val="28"/>
          <w:lang w:val="en-US" w:eastAsia="zh-CN"/>
        </w:rPr>
        <w:t xml:space="preserve"> Oliv.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九、木兰科</w:t>
      </w:r>
      <w:r>
        <w:rPr>
          <w:rFonts w:hint="eastAsia" w:eastAsia="黑体"/>
          <w:b/>
          <w:color w:val="000000"/>
          <w:sz w:val="32"/>
          <w:szCs w:val="32"/>
          <w:lang w:val="en-US" w:eastAsia="zh-CN"/>
        </w:rPr>
        <w:t>Magnoliaceae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十四</w:t>
      </w:r>
      <w:r>
        <w:rPr>
          <w:rFonts w:hint="eastAsia" w:ascii="黑体" w:eastAsia="黑体"/>
          <w:color w:val="000000"/>
          <w:sz w:val="30"/>
          <w:szCs w:val="30"/>
          <w:lang w:val="es-ES"/>
        </w:rPr>
        <w:t xml:space="preserve">）鹅掌楸属 </w:t>
      </w:r>
      <w:r>
        <w:rPr>
          <w:rFonts w:hint="eastAsia" w:eastAsia="黑体"/>
          <w:b/>
          <w:i/>
          <w:iCs w:val="0"/>
          <w:color w:val="000000"/>
          <w:sz w:val="30"/>
          <w:szCs w:val="30"/>
          <w:lang w:val="es-ES"/>
        </w:rPr>
        <w:t xml:space="preserve">Liriodendron </w:t>
      </w:r>
      <w:r>
        <w:rPr>
          <w:rFonts w:hint="eastAsia" w:eastAsia="黑体"/>
          <w:b/>
          <w:i w:val="0"/>
          <w:iCs/>
          <w:color w:val="000000"/>
          <w:sz w:val="30"/>
          <w:szCs w:val="30"/>
          <w:lang w:val="es-ES"/>
        </w:rPr>
        <w:t xml:space="preserve">Linn.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17、鹅掌楸 </w:t>
      </w:r>
      <w:r>
        <w:rPr>
          <w:rFonts w:hint="eastAsia"/>
          <w:i/>
          <w:color w:val="auto"/>
          <w:sz w:val="28"/>
          <w:szCs w:val="28"/>
          <w:lang w:val="en-US" w:eastAsia="zh-CN"/>
        </w:rPr>
        <w:t>Liriodendron chinense</w:t>
      </w:r>
      <w:r>
        <w:rPr>
          <w:rFonts w:hint="eastAsia"/>
          <w:i w:val="0"/>
          <w:iCs/>
          <w:color w:val="auto"/>
          <w:sz w:val="28"/>
          <w:szCs w:val="28"/>
          <w:lang w:val="en-US" w:eastAsia="zh-CN"/>
        </w:rPr>
        <w:t xml:space="preserve"> Sarg.</w:t>
      </w:r>
      <w:r>
        <w:rPr>
          <w:rFonts w:hint="eastAsia" w:ascii="宋体" w:hAnsi="宋体"/>
          <w:i w:val="0"/>
          <w:iCs/>
          <w:color w:val="auto"/>
          <w:sz w:val="28"/>
          <w:szCs w:val="28"/>
          <w:lang w:val="en-US" w:eastAsia="zh-CN"/>
        </w:rPr>
        <w:t xml:space="preserve"> </w:t>
      </w:r>
      <w:r>
        <w:rPr>
          <w:rFonts w:hint="eastAsia" w:ascii="宋体" w:hAnsi="宋体"/>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十、腊梅科</w:t>
      </w:r>
      <w:r>
        <w:rPr>
          <w:rFonts w:hint="eastAsia" w:eastAsia="黑体"/>
          <w:b/>
          <w:color w:val="000000"/>
          <w:sz w:val="32"/>
          <w:szCs w:val="32"/>
          <w:lang w:val="en-US" w:eastAsia="zh-CN"/>
        </w:rPr>
        <w:t>Calycanthaceae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十五</w:t>
      </w:r>
      <w:r>
        <w:rPr>
          <w:rFonts w:hint="eastAsia" w:ascii="黑体" w:eastAsia="黑体"/>
          <w:color w:val="000000"/>
          <w:sz w:val="30"/>
          <w:szCs w:val="30"/>
          <w:lang w:val="es-ES"/>
        </w:rPr>
        <w:t>）腊梅属</w:t>
      </w:r>
      <w:r>
        <w:rPr>
          <w:rFonts w:hint="eastAsia" w:eastAsia="黑体"/>
          <w:b/>
          <w:i/>
          <w:iCs w:val="0"/>
          <w:color w:val="000000"/>
          <w:sz w:val="30"/>
          <w:szCs w:val="30"/>
          <w:lang w:val="es-ES"/>
        </w:rPr>
        <w:t xml:space="preserve">Chimonanthus </w:t>
      </w:r>
      <w:r>
        <w:rPr>
          <w:rFonts w:hint="eastAsia" w:eastAsia="黑体"/>
          <w:b/>
          <w:i w:val="0"/>
          <w:iCs/>
          <w:color w:val="000000"/>
          <w:sz w:val="30"/>
          <w:szCs w:val="30"/>
          <w:lang w:val="es-ES"/>
        </w:rPr>
        <w:t>Lindl.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18、腊梅</w:t>
      </w:r>
      <w:r>
        <w:rPr>
          <w:rFonts w:hint="eastAsia" w:ascii="宋体" w:hAnsi="宋体"/>
          <w:color w:val="auto"/>
          <w:sz w:val="28"/>
          <w:szCs w:val="28"/>
          <w:lang w:val="en-US" w:eastAsia="zh-CN"/>
        </w:rPr>
        <w:t xml:space="preserve"> </w:t>
      </w:r>
      <w:r>
        <w:rPr>
          <w:rFonts w:hint="eastAsia"/>
          <w:i/>
          <w:color w:val="auto"/>
          <w:sz w:val="28"/>
          <w:szCs w:val="28"/>
          <w:lang w:val="en-US" w:eastAsia="zh-CN"/>
        </w:rPr>
        <w:t>Chimonanthus pracecox</w:t>
      </w:r>
      <w:r>
        <w:rPr>
          <w:rFonts w:hint="eastAsia"/>
          <w:i w:val="0"/>
          <w:iCs/>
          <w:color w:val="auto"/>
          <w:sz w:val="28"/>
          <w:szCs w:val="28"/>
          <w:lang w:val="en-US" w:eastAsia="zh-CN"/>
        </w:rPr>
        <w:t xml:space="preserve">（L.）Link.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十一、悬铃木科</w:t>
      </w:r>
      <w:r>
        <w:rPr>
          <w:rFonts w:hint="eastAsia" w:eastAsia="黑体"/>
          <w:b/>
          <w:color w:val="000000"/>
          <w:sz w:val="32"/>
          <w:szCs w:val="32"/>
          <w:lang w:val="en-US" w:eastAsia="zh-CN"/>
        </w:rPr>
        <w:t>Platanaceae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十六</w:t>
      </w:r>
      <w:r>
        <w:rPr>
          <w:rFonts w:hint="eastAsia" w:ascii="黑体" w:eastAsia="黑体"/>
          <w:color w:val="000000"/>
          <w:sz w:val="30"/>
          <w:szCs w:val="30"/>
          <w:lang w:val="es-ES"/>
        </w:rPr>
        <w:t>）悬铃木属</w:t>
      </w:r>
      <w:r>
        <w:rPr>
          <w:rFonts w:hint="eastAsia" w:eastAsia="黑体"/>
          <w:b/>
          <w:i/>
          <w:iCs w:val="0"/>
          <w:color w:val="000000"/>
          <w:sz w:val="30"/>
          <w:szCs w:val="30"/>
          <w:lang w:val="es-ES"/>
        </w:rPr>
        <w:t xml:space="preserve"> Platanus </w:t>
      </w:r>
      <w:r>
        <w:rPr>
          <w:rFonts w:hint="eastAsia" w:eastAsia="黑体"/>
          <w:b/>
          <w:i w:val="0"/>
          <w:iCs/>
          <w:color w:val="000000"/>
          <w:sz w:val="30"/>
          <w:szCs w:val="30"/>
          <w:lang w:val="es-ES"/>
        </w:rPr>
        <w:t>Linn.</w:t>
      </w:r>
    </w:p>
    <w:p>
      <w:pPr>
        <w:autoSpaceDE w:val="0"/>
        <w:autoSpaceDN w:val="0"/>
        <w:ind w:firstLine="840" w:firstLineChars="300"/>
        <w:rPr>
          <w:rFonts w:hint="eastAsia" w:ascii="宋体" w:hAnsi="宋体"/>
          <w:color w:val="auto"/>
          <w:sz w:val="28"/>
          <w:szCs w:val="28"/>
          <w:lang w:val="es-ES" w:eastAsia="zh-CN"/>
        </w:rPr>
      </w:pPr>
      <w:r>
        <w:rPr>
          <w:rFonts w:hint="eastAsia" w:ascii="宋体" w:hAnsi="宋体" w:eastAsia="宋体" w:cs="Times New Roman"/>
          <w:color w:val="auto"/>
          <w:sz w:val="28"/>
          <w:szCs w:val="28"/>
          <w:lang w:val="en-US" w:eastAsia="zh-CN"/>
        </w:rPr>
        <w:t>19</w:t>
      </w:r>
      <w:r>
        <w:rPr>
          <w:rFonts w:hint="eastAsia" w:ascii="宋体" w:hAnsi="宋体" w:eastAsia="宋体" w:cs="Times New Roman"/>
          <w:color w:val="auto"/>
          <w:sz w:val="28"/>
          <w:szCs w:val="28"/>
          <w:lang w:val="es-ES" w:eastAsia="zh-CN"/>
        </w:rPr>
        <w:t>、</w:t>
      </w:r>
      <w:r>
        <w:rPr>
          <w:rFonts w:hint="eastAsia" w:ascii="宋体" w:hAnsi="宋体" w:eastAsia="宋体" w:cs="Times New Roman"/>
          <w:color w:val="auto"/>
          <w:sz w:val="28"/>
          <w:szCs w:val="28"/>
          <w:lang w:val="en-US" w:eastAsia="zh-CN"/>
        </w:rPr>
        <w:t>法国梧桐</w:t>
      </w:r>
      <w:r>
        <w:rPr>
          <w:rFonts w:hint="eastAsia" w:ascii="宋体" w:hAnsi="宋体"/>
          <w:color w:val="auto"/>
          <w:sz w:val="28"/>
          <w:szCs w:val="28"/>
          <w:lang w:val="en-US" w:eastAsia="zh-CN"/>
        </w:rPr>
        <w:t xml:space="preserve"> </w:t>
      </w:r>
      <w:r>
        <w:rPr>
          <w:rFonts w:hint="eastAsia"/>
          <w:i/>
          <w:color w:val="auto"/>
          <w:sz w:val="28"/>
          <w:szCs w:val="28"/>
          <w:lang w:val="es-ES" w:eastAsia="zh-CN"/>
        </w:rPr>
        <w:t xml:space="preserve">Platanus orientalis </w:t>
      </w:r>
      <w:r>
        <w:rPr>
          <w:rFonts w:hint="eastAsia"/>
          <w:i w:val="0"/>
          <w:iCs/>
          <w:color w:val="auto"/>
          <w:sz w:val="28"/>
          <w:szCs w:val="28"/>
          <w:lang w:val="es-ES" w:eastAsia="zh-CN"/>
        </w:rPr>
        <w:t>Linn.</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十二、蔷薇科</w:t>
      </w:r>
      <w:r>
        <w:rPr>
          <w:rFonts w:hint="eastAsia" w:eastAsia="黑体"/>
          <w:b/>
          <w:color w:val="000000"/>
          <w:sz w:val="32"/>
          <w:szCs w:val="32"/>
          <w:lang w:val="en-US" w:eastAsia="zh-CN"/>
        </w:rPr>
        <w:t>Rosaceae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 xml:space="preserve">（十七）石楠属 </w:t>
      </w:r>
      <w:r>
        <w:rPr>
          <w:rFonts w:hint="eastAsia" w:eastAsia="黑体"/>
          <w:b/>
          <w:i/>
          <w:iCs w:val="0"/>
          <w:color w:val="000000"/>
          <w:sz w:val="30"/>
          <w:szCs w:val="30"/>
          <w:lang w:val="es-ES"/>
        </w:rPr>
        <w:t>Photinia</w:t>
      </w:r>
      <w:r>
        <w:rPr>
          <w:rFonts w:hint="eastAsia" w:eastAsia="黑体"/>
          <w:b/>
          <w:i w:val="0"/>
          <w:iCs/>
          <w:color w:val="000000"/>
          <w:sz w:val="30"/>
          <w:szCs w:val="30"/>
          <w:lang w:val="es-ES"/>
        </w:rPr>
        <w:t xml:space="preserve"> Lindl.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20、石楠</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Photinia serrulata </w:t>
      </w:r>
      <w:r>
        <w:rPr>
          <w:rFonts w:hint="eastAsia"/>
          <w:i w:val="0"/>
          <w:iCs/>
          <w:color w:val="auto"/>
          <w:sz w:val="28"/>
          <w:szCs w:val="28"/>
          <w:lang w:val="en-US" w:eastAsia="zh-CN"/>
        </w:rPr>
        <w:t xml:space="preserve">Lindl.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21、红叶石楠</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Photinia fraseri </w:t>
      </w:r>
      <w:r>
        <w:rPr>
          <w:rFonts w:hint="eastAsia"/>
          <w:i w:val="0"/>
          <w:iCs/>
          <w:color w:val="auto"/>
          <w:sz w:val="28"/>
          <w:szCs w:val="28"/>
          <w:lang w:val="en-US" w:eastAsia="zh-CN"/>
        </w:rPr>
        <w:t xml:space="preserve">cv. Red Robin  </w:t>
      </w:r>
    </w:p>
    <w:p>
      <w:pPr>
        <w:spacing w:line="360" w:lineRule="auto"/>
        <w:ind w:firstLine="600" w:firstLineChars="200"/>
        <w:rPr>
          <w:szCs w:val="21"/>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十八</w:t>
      </w:r>
      <w:r>
        <w:rPr>
          <w:rFonts w:hint="eastAsia" w:ascii="黑体" w:eastAsia="黑体"/>
          <w:color w:val="000000"/>
          <w:sz w:val="30"/>
          <w:szCs w:val="30"/>
          <w:lang w:val="es-ES"/>
        </w:rPr>
        <w:t xml:space="preserve">）苹果属 </w:t>
      </w:r>
      <w:r>
        <w:rPr>
          <w:rFonts w:hint="eastAsia" w:eastAsia="黑体"/>
          <w:b/>
          <w:i/>
          <w:iCs w:val="0"/>
          <w:color w:val="000000"/>
          <w:sz w:val="30"/>
          <w:szCs w:val="30"/>
          <w:lang w:val="es-ES"/>
        </w:rPr>
        <w:t>Malus</w:t>
      </w:r>
      <w:r>
        <w:rPr>
          <w:rFonts w:hint="eastAsia" w:eastAsia="黑体"/>
          <w:b/>
          <w:i/>
          <w:iCs w:val="0"/>
          <w:color w:val="000000"/>
          <w:sz w:val="30"/>
          <w:szCs w:val="30"/>
          <w:lang w:val="en-US" w:eastAsia="zh-CN"/>
        </w:rPr>
        <w:t xml:space="preserve"> </w:t>
      </w:r>
      <w:r>
        <w:rPr>
          <w:rFonts w:hint="eastAsia" w:eastAsia="黑体"/>
          <w:b/>
          <w:i w:val="0"/>
          <w:iCs/>
          <w:color w:val="000000"/>
          <w:sz w:val="30"/>
          <w:szCs w:val="30"/>
          <w:lang w:val="es-ES"/>
        </w:rPr>
        <w:t>Mill.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22、西府海棠 </w:t>
      </w:r>
      <w:r>
        <w:rPr>
          <w:rFonts w:hint="eastAsia"/>
          <w:i/>
          <w:color w:val="auto"/>
          <w:sz w:val="28"/>
          <w:szCs w:val="28"/>
          <w:lang w:val="en-US" w:eastAsia="zh-CN"/>
        </w:rPr>
        <w:t xml:space="preserve">Malus micromalus </w:t>
      </w:r>
      <w:r>
        <w:rPr>
          <w:rFonts w:hint="eastAsia"/>
          <w:i w:val="0"/>
          <w:iCs/>
          <w:color w:val="auto"/>
          <w:sz w:val="28"/>
          <w:szCs w:val="28"/>
          <w:lang w:val="en-US" w:eastAsia="zh-CN"/>
        </w:rPr>
        <w:t xml:space="preserve">Mark. </w:t>
      </w:r>
      <w:r>
        <w:rPr>
          <w:rFonts w:hint="eastAsia" w:ascii="宋体" w:hAnsi="宋体"/>
          <w:color w:val="auto"/>
          <w:sz w:val="28"/>
          <w:szCs w:val="28"/>
          <w:lang w:val="en-US" w:eastAsia="zh-CN"/>
        </w:rPr>
        <w:t xml:space="preserve">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23、苹果 </w:t>
      </w:r>
      <w:r>
        <w:rPr>
          <w:rFonts w:hint="eastAsia"/>
          <w:i/>
          <w:color w:val="auto"/>
          <w:sz w:val="28"/>
          <w:szCs w:val="28"/>
          <w:lang w:val="en-US" w:eastAsia="zh-CN"/>
        </w:rPr>
        <w:t xml:space="preserve">Malus pumila </w:t>
      </w:r>
      <w:r>
        <w:rPr>
          <w:rFonts w:hint="eastAsia"/>
          <w:i w:val="0"/>
          <w:iCs/>
          <w:color w:val="auto"/>
          <w:sz w:val="28"/>
          <w:szCs w:val="28"/>
          <w:lang w:val="en-US" w:eastAsia="zh-CN"/>
        </w:rPr>
        <w:t>Mill</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十九</w:t>
      </w:r>
      <w:r>
        <w:rPr>
          <w:rFonts w:hint="eastAsia" w:ascii="黑体" w:eastAsia="黑体"/>
          <w:color w:val="000000"/>
          <w:sz w:val="30"/>
          <w:szCs w:val="30"/>
          <w:lang w:val="es-ES"/>
        </w:rPr>
        <w:t>）李属</w:t>
      </w:r>
      <w:r>
        <w:rPr>
          <w:rFonts w:hint="eastAsia" w:eastAsia="黑体"/>
          <w:b/>
          <w:i/>
          <w:iCs w:val="0"/>
          <w:color w:val="000000"/>
          <w:sz w:val="30"/>
          <w:szCs w:val="30"/>
          <w:lang w:val="es-ES"/>
        </w:rPr>
        <w:t xml:space="preserve">Prunus </w:t>
      </w:r>
      <w:r>
        <w:rPr>
          <w:rFonts w:hint="eastAsia" w:eastAsia="黑体"/>
          <w:b/>
          <w:i w:val="0"/>
          <w:iCs/>
          <w:color w:val="000000"/>
          <w:sz w:val="30"/>
          <w:szCs w:val="30"/>
          <w:lang w:val="es-ES"/>
        </w:rPr>
        <w:t>Mill.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24、紫叶李</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Prunus ceracifera </w:t>
      </w:r>
      <w:r>
        <w:rPr>
          <w:rFonts w:hint="eastAsia"/>
          <w:i w:val="0"/>
          <w:iCs/>
          <w:color w:val="auto"/>
          <w:sz w:val="28"/>
          <w:szCs w:val="28"/>
          <w:lang w:val="en-US" w:eastAsia="zh-CN"/>
        </w:rPr>
        <w:t xml:space="preserve">Ehrh. cv. Atropurpurea </w:t>
      </w:r>
      <w:r>
        <w:rPr>
          <w:rFonts w:hint="eastAsia" w:ascii="宋体" w:hAnsi="宋体"/>
          <w:i w:val="0"/>
          <w:iCs/>
          <w:color w:val="auto"/>
          <w:sz w:val="28"/>
          <w:szCs w:val="28"/>
          <w:lang w:val="en-US" w:eastAsia="zh-CN"/>
        </w:rPr>
        <w:t xml:space="preserve">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25、美人梅</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Prunus </w:t>
      </w:r>
      <w:r>
        <w:rPr>
          <w:rFonts w:hint="eastAsia"/>
          <w:i w:val="0"/>
          <w:iCs/>
          <w:color w:val="auto"/>
          <w:sz w:val="28"/>
          <w:szCs w:val="28"/>
          <w:lang w:val="en-US" w:eastAsia="zh-CN"/>
        </w:rPr>
        <w:t>×</w:t>
      </w:r>
      <w:r>
        <w:rPr>
          <w:rFonts w:hint="eastAsia"/>
          <w:i/>
          <w:color w:val="auto"/>
          <w:sz w:val="28"/>
          <w:szCs w:val="28"/>
          <w:lang w:val="en-US" w:eastAsia="zh-CN"/>
        </w:rPr>
        <w:t xml:space="preserve"> blireana </w:t>
      </w:r>
      <w:r>
        <w:rPr>
          <w:rFonts w:hint="eastAsia"/>
          <w:i w:val="0"/>
          <w:iCs/>
          <w:color w:val="auto"/>
          <w:sz w:val="28"/>
          <w:szCs w:val="28"/>
          <w:lang w:val="en-US" w:eastAsia="zh-CN"/>
        </w:rPr>
        <w:t>L</w:t>
      </w:r>
      <w:r>
        <w:rPr>
          <w:rFonts w:hint="eastAsia"/>
          <w:i/>
          <w:color w:val="auto"/>
          <w:sz w:val="28"/>
          <w:szCs w:val="28"/>
          <w:lang w:val="en-US" w:eastAsia="zh-CN"/>
        </w:rPr>
        <w:t xml:space="preserve">. </w:t>
      </w:r>
      <w:r>
        <w:rPr>
          <w:rFonts w:hint="eastAsia"/>
          <w:i w:val="0"/>
          <w:iCs/>
          <w:color w:val="auto"/>
          <w:sz w:val="28"/>
          <w:szCs w:val="28"/>
          <w:lang w:val="en-US" w:eastAsia="zh-CN"/>
        </w:rPr>
        <w:t xml:space="preserve">cv. Meiren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w:t>
      </w:r>
      <w:r>
        <w:rPr>
          <w:rFonts w:hint="eastAsia" w:ascii="黑体" w:eastAsia="黑体"/>
          <w:color w:val="000000"/>
          <w:sz w:val="30"/>
          <w:szCs w:val="30"/>
          <w:lang w:val="es-ES"/>
        </w:rPr>
        <w:t xml:space="preserve">）樱属 </w:t>
      </w:r>
      <w:r>
        <w:rPr>
          <w:rFonts w:hint="eastAsia" w:eastAsia="黑体"/>
          <w:b/>
          <w:i/>
          <w:iCs w:val="0"/>
          <w:color w:val="000000"/>
          <w:sz w:val="30"/>
          <w:szCs w:val="30"/>
          <w:lang w:val="es-ES"/>
        </w:rPr>
        <w:t xml:space="preserve">Cerasus </w:t>
      </w:r>
      <w:r>
        <w:rPr>
          <w:rFonts w:hint="eastAsia" w:eastAsia="黑体"/>
          <w:b/>
          <w:i w:val="0"/>
          <w:iCs/>
          <w:color w:val="000000"/>
          <w:sz w:val="30"/>
          <w:szCs w:val="30"/>
          <w:lang w:val="es-ES"/>
        </w:rPr>
        <w:t>Mill.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26、樱桃</w:t>
      </w:r>
      <w:r>
        <w:rPr>
          <w:rFonts w:hint="eastAsia"/>
          <w:i/>
          <w:color w:val="auto"/>
          <w:sz w:val="28"/>
          <w:szCs w:val="28"/>
          <w:lang w:val="en-US" w:eastAsia="zh-CN"/>
        </w:rPr>
        <w:t xml:space="preserve"> Cerasus pseudocerasus</w:t>
      </w:r>
      <w:r>
        <w:rPr>
          <w:rFonts w:hint="eastAsia"/>
          <w:i w:val="0"/>
          <w:iCs/>
          <w:color w:val="auto"/>
          <w:sz w:val="28"/>
          <w:szCs w:val="28"/>
          <w:lang w:val="en-US" w:eastAsia="zh-CN"/>
        </w:rPr>
        <w:t xml:space="preserve">（Lindl.）G. Don </w:t>
      </w:r>
      <w:r>
        <w:rPr>
          <w:rFonts w:hint="eastAsia" w:ascii="宋体" w:hAnsi="宋体"/>
          <w:i w:val="0"/>
          <w:iCs/>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十三、豆科</w:t>
      </w:r>
      <w:r>
        <w:rPr>
          <w:rFonts w:hint="eastAsia" w:eastAsia="黑体"/>
          <w:b/>
          <w:color w:val="000000"/>
          <w:sz w:val="32"/>
          <w:szCs w:val="32"/>
          <w:lang w:val="en-US" w:eastAsia="zh-CN"/>
        </w:rPr>
        <w:t>Leguminosae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二十一</w:t>
      </w:r>
      <w:r>
        <w:rPr>
          <w:rFonts w:hint="eastAsia" w:ascii="黑体" w:eastAsia="黑体"/>
          <w:color w:val="000000"/>
          <w:sz w:val="30"/>
          <w:szCs w:val="30"/>
          <w:lang w:val="es-ES"/>
        </w:rPr>
        <w:t xml:space="preserve">）皂荚属 </w:t>
      </w:r>
      <w:r>
        <w:rPr>
          <w:rFonts w:hint="eastAsia" w:eastAsia="黑体"/>
          <w:b/>
          <w:i/>
          <w:iCs w:val="0"/>
          <w:color w:val="000000"/>
          <w:sz w:val="30"/>
          <w:szCs w:val="30"/>
          <w:lang w:val="es-ES"/>
        </w:rPr>
        <w:t>Gleditsia</w:t>
      </w:r>
      <w:r>
        <w:rPr>
          <w:rFonts w:hint="eastAsia" w:eastAsia="黑体"/>
          <w:b/>
          <w:i w:val="0"/>
          <w:iCs/>
          <w:color w:val="000000"/>
          <w:sz w:val="30"/>
          <w:szCs w:val="30"/>
          <w:lang w:val="es-ES"/>
        </w:rPr>
        <w:t xml:space="preserve"> L</w:t>
      </w:r>
      <w:r>
        <w:rPr>
          <w:rFonts w:hint="eastAsia" w:eastAsia="黑体"/>
          <w:b/>
          <w:i/>
          <w:iCs w:val="0"/>
          <w:color w:val="000000"/>
          <w:sz w:val="30"/>
          <w:szCs w:val="30"/>
          <w:lang w:val="es-ES"/>
        </w:rPr>
        <w:t>.</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27、皂荚（皂角树）</w:t>
      </w:r>
      <w:r>
        <w:rPr>
          <w:rFonts w:hint="eastAsia"/>
          <w:i/>
          <w:color w:val="auto"/>
          <w:sz w:val="28"/>
          <w:szCs w:val="28"/>
          <w:lang w:val="en-US" w:eastAsia="zh-CN"/>
        </w:rPr>
        <w:t xml:space="preserve">Gleditsia sinensis </w:t>
      </w:r>
      <w:r>
        <w:rPr>
          <w:rFonts w:hint="eastAsia"/>
          <w:i w:val="0"/>
          <w:iCs/>
          <w:color w:val="auto"/>
          <w:sz w:val="28"/>
          <w:szCs w:val="28"/>
          <w:lang w:val="en-US" w:eastAsia="zh-CN"/>
        </w:rPr>
        <w:t>Lam.</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二十二</w:t>
      </w:r>
      <w:r>
        <w:rPr>
          <w:rFonts w:hint="eastAsia" w:ascii="黑体" w:eastAsia="黑体"/>
          <w:color w:val="000000"/>
          <w:sz w:val="30"/>
          <w:szCs w:val="30"/>
          <w:lang w:val="es-ES"/>
        </w:rPr>
        <w:t xml:space="preserve">）紫荆属 </w:t>
      </w:r>
      <w:r>
        <w:rPr>
          <w:rFonts w:hint="eastAsia" w:eastAsia="黑体"/>
          <w:b/>
          <w:i/>
          <w:iCs w:val="0"/>
          <w:color w:val="000000"/>
          <w:sz w:val="30"/>
          <w:szCs w:val="30"/>
          <w:lang w:val="es-ES"/>
        </w:rPr>
        <w:t>Cercis</w:t>
      </w:r>
      <w:r>
        <w:rPr>
          <w:rFonts w:hint="eastAsia" w:eastAsia="黑体"/>
          <w:b/>
          <w:i w:val="0"/>
          <w:iCs/>
          <w:color w:val="000000"/>
          <w:sz w:val="30"/>
          <w:szCs w:val="30"/>
          <w:lang w:val="es-ES"/>
        </w:rPr>
        <w:t xml:space="preserve"> 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28、紫荆</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Cercis chinensis </w:t>
      </w:r>
      <w:r>
        <w:rPr>
          <w:rFonts w:hint="eastAsia"/>
          <w:i w:val="0"/>
          <w:iCs/>
          <w:color w:val="auto"/>
          <w:sz w:val="28"/>
          <w:szCs w:val="28"/>
          <w:lang w:val="en-US" w:eastAsia="zh-CN"/>
        </w:rPr>
        <w:t>Bunge</w:t>
      </w:r>
      <w:r>
        <w:rPr>
          <w:rFonts w:hint="eastAsia"/>
          <w:i/>
          <w:color w:val="auto"/>
          <w:sz w:val="28"/>
          <w:szCs w:val="28"/>
          <w:lang w:val="en-US" w:eastAsia="zh-CN"/>
        </w:rPr>
        <w:t xml:space="preserve">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29、巨紫荆</w:t>
      </w:r>
      <w:r>
        <w:rPr>
          <w:rFonts w:hint="eastAsia" w:ascii="宋体" w:hAnsi="宋体"/>
          <w:color w:val="auto"/>
          <w:sz w:val="28"/>
          <w:szCs w:val="28"/>
          <w:lang w:val="pt-BR" w:eastAsia="zh-CN"/>
        </w:rPr>
        <w:t xml:space="preserve"> </w:t>
      </w:r>
      <w:r>
        <w:rPr>
          <w:rFonts w:hint="eastAsia"/>
          <w:i/>
          <w:color w:val="auto"/>
          <w:sz w:val="28"/>
          <w:szCs w:val="28"/>
          <w:lang w:val="pt-BR" w:eastAsia="zh-CN"/>
        </w:rPr>
        <w:t xml:space="preserve">Cercis gigantea </w:t>
      </w:r>
      <w:r>
        <w:rPr>
          <w:rFonts w:hint="eastAsia"/>
          <w:i w:val="0"/>
          <w:iCs/>
          <w:color w:val="auto"/>
          <w:sz w:val="28"/>
          <w:szCs w:val="28"/>
          <w:lang w:val="pt-BR" w:eastAsia="zh-CN"/>
        </w:rPr>
        <w:t>Cheng et Keng f.</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二十三</w:t>
      </w:r>
      <w:r>
        <w:rPr>
          <w:rFonts w:hint="eastAsia" w:ascii="黑体" w:eastAsia="黑体"/>
          <w:color w:val="000000"/>
          <w:sz w:val="30"/>
          <w:szCs w:val="30"/>
          <w:lang w:val="es-ES"/>
        </w:rPr>
        <w:t xml:space="preserve">）槐属 </w:t>
      </w:r>
      <w:r>
        <w:rPr>
          <w:rFonts w:hint="eastAsia" w:eastAsia="黑体"/>
          <w:b/>
          <w:i/>
          <w:iCs w:val="0"/>
          <w:color w:val="000000"/>
          <w:sz w:val="30"/>
          <w:szCs w:val="30"/>
          <w:lang w:val="es-ES"/>
        </w:rPr>
        <w:t>Sophora</w:t>
      </w:r>
      <w:r>
        <w:rPr>
          <w:rFonts w:hint="eastAsia" w:eastAsia="黑体"/>
          <w:b/>
          <w:i w:val="0"/>
          <w:iCs/>
          <w:color w:val="000000"/>
          <w:sz w:val="30"/>
          <w:szCs w:val="30"/>
          <w:lang w:val="es-ES"/>
        </w:rPr>
        <w:t xml:space="preserve"> 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30、国槐 </w:t>
      </w:r>
      <w:r>
        <w:rPr>
          <w:rFonts w:hint="eastAsia"/>
          <w:i/>
          <w:color w:val="auto"/>
          <w:sz w:val="28"/>
          <w:szCs w:val="28"/>
          <w:lang w:val="en-US" w:eastAsia="zh-CN"/>
        </w:rPr>
        <w:t xml:space="preserve">Sophora japonica </w:t>
      </w:r>
      <w:r>
        <w:rPr>
          <w:rFonts w:hint="eastAsia"/>
          <w:i w:val="0"/>
          <w:iCs/>
          <w:color w:val="auto"/>
          <w:sz w:val="28"/>
          <w:szCs w:val="28"/>
          <w:lang w:val="en-US" w:eastAsia="zh-CN"/>
        </w:rPr>
        <w:t>L.</w:t>
      </w:r>
      <w:r>
        <w:rPr>
          <w:rFonts w:hint="eastAsia"/>
          <w:i/>
          <w:color w:val="auto"/>
          <w:sz w:val="28"/>
          <w:szCs w:val="28"/>
          <w:lang w:val="en-US" w:eastAsia="zh-CN"/>
        </w:rPr>
        <w:t xml:space="preserve">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二十四</w:t>
      </w:r>
      <w:r>
        <w:rPr>
          <w:rFonts w:hint="eastAsia" w:ascii="黑体" w:eastAsia="黑体"/>
          <w:color w:val="000000"/>
          <w:sz w:val="30"/>
          <w:szCs w:val="30"/>
          <w:lang w:val="es-ES"/>
        </w:rPr>
        <w:t xml:space="preserve">）刺槐属 </w:t>
      </w:r>
      <w:r>
        <w:rPr>
          <w:rFonts w:hint="eastAsia" w:eastAsia="黑体"/>
          <w:b/>
          <w:i/>
          <w:iCs w:val="0"/>
          <w:color w:val="000000"/>
          <w:sz w:val="30"/>
          <w:szCs w:val="30"/>
          <w:lang w:val="es-ES"/>
        </w:rPr>
        <w:t xml:space="preserve">Robinia </w:t>
      </w:r>
      <w:r>
        <w:rPr>
          <w:rFonts w:hint="eastAsia" w:eastAsia="黑体"/>
          <w:b/>
          <w:i w:val="0"/>
          <w:iCs/>
          <w:color w:val="000000"/>
          <w:sz w:val="30"/>
          <w:szCs w:val="30"/>
          <w:lang w:val="es-ES"/>
        </w:rPr>
        <w:t>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31、刺槐</w:t>
      </w:r>
      <w:r>
        <w:rPr>
          <w:rFonts w:hint="eastAsia" w:ascii="宋体" w:hAnsi="宋体"/>
          <w:color w:val="auto"/>
          <w:sz w:val="28"/>
          <w:szCs w:val="28"/>
          <w:lang w:val="en-US" w:eastAsia="zh-CN"/>
        </w:rPr>
        <w:t xml:space="preserve"> </w:t>
      </w:r>
      <w:r>
        <w:rPr>
          <w:rFonts w:hint="eastAsia"/>
          <w:i/>
          <w:color w:val="auto"/>
          <w:sz w:val="28"/>
          <w:szCs w:val="28"/>
          <w:lang w:val="en-US" w:eastAsia="zh-CN"/>
        </w:rPr>
        <w:t>Robinia pesudoacacia</w:t>
      </w:r>
      <w:r>
        <w:rPr>
          <w:rFonts w:hint="eastAsia"/>
          <w:i w:val="0"/>
          <w:iCs/>
          <w:color w:val="auto"/>
          <w:sz w:val="28"/>
          <w:szCs w:val="28"/>
          <w:lang w:val="en-US" w:eastAsia="zh-CN"/>
        </w:rPr>
        <w:t xml:space="preserve"> L.</w:t>
      </w:r>
      <w:r>
        <w:rPr>
          <w:rFonts w:hint="eastAsia"/>
          <w:i/>
          <w:color w:val="auto"/>
          <w:sz w:val="28"/>
          <w:szCs w:val="28"/>
          <w:lang w:val="en-US" w:eastAsia="zh-CN"/>
        </w:rPr>
        <w:t xml:space="preserve">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二十五</w:t>
      </w:r>
      <w:r>
        <w:rPr>
          <w:rFonts w:hint="eastAsia" w:ascii="黑体" w:eastAsia="黑体"/>
          <w:color w:val="000000"/>
          <w:sz w:val="30"/>
          <w:szCs w:val="30"/>
          <w:lang w:val="es-ES"/>
        </w:rPr>
        <w:t xml:space="preserve">）黄芪属 </w:t>
      </w:r>
      <w:r>
        <w:rPr>
          <w:rFonts w:hint="eastAsia" w:eastAsia="黑体"/>
          <w:b/>
          <w:i/>
          <w:iCs w:val="0"/>
          <w:color w:val="000000"/>
          <w:sz w:val="30"/>
          <w:szCs w:val="30"/>
          <w:lang w:val="es-ES"/>
        </w:rPr>
        <w:t xml:space="preserve">Astragalus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32、紫云英 </w:t>
      </w:r>
      <w:r>
        <w:rPr>
          <w:rFonts w:hint="eastAsia"/>
          <w:i/>
          <w:color w:val="auto"/>
          <w:sz w:val="28"/>
          <w:szCs w:val="28"/>
          <w:lang w:val="en-US" w:eastAsia="zh-CN"/>
        </w:rPr>
        <w:t xml:space="preserve">Astragalus sinicus </w:t>
      </w:r>
      <w:r>
        <w:rPr>
          <w:rFonts w:hint="eastAsia"/>
          <w:i w:val="0"/>
          <w:iCs/>
          <w:color w:val="auto"/>
          <w:sz w:val="28"/>
          <w:szCs w:val="28"/>
          <w:lang w:val="en-US" w:eastAsia="zh-CN"/>
        </w:rPr>
        <w:t>L.</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十四、大戟科</w:t>
      </w:r>
      <w:r>
        <w:rPr>
          <w:rFonts w:hint="eastAsia" w:eastAsia="黑体"/>
          <w:b/>
          <w:color w:val="000000"/>
          <w:sz w:val="32"/>
          <w:szCs w:val="32"/>
          <w:lang w:val="en-US" w:eastAsia="zh-CN"/>
        </w:rPr>
        <w:t>Euphorbiaceae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二十六</w:t>
      </w:r>
      <w:r>
        <w:rPr>
          <w:rFonts w:hint="eastAsia" w:ascii="黑体" w:eastAsia="黑体"/>
          <w:color w:val="000000"/>
          <w:sz w:val="30"/>
          <w:szCs w:val="30"/>
          <w:lang w:val="es-ES"/>
        </w:rPr>
        <w:t>）秋枫属</w:t>
      </w:r>
      <w:r>
        <w:rPr>
          <w:rFonts w:hint="eastAsia" w:eastAsia="黑体"/>
          <w:b/>
          <w:i/>
          <w:iCs w:val="0"/>
          <w:color w:val="000000"/>
          <w:sz w:val="30"/>
          <w:szCs w:val="30"/>
          <w:lang w:val="es-ES"/>
        </w:rPr>
        <w:t xml:space="preserve">Bischofia </w:t>
      </w:r>
      <w:r>
        <w:rPr>
          <w:rFonts w:hint="eastAsia" w:eastAsia="黑体"/>
          <w:b/>
          <w:i w:val="0"/>
          <w:iCs/>
          <w:color w:val="000000"/>
          <w:sz w:val="30"/>
          <w:szCs w:val="30"/>
          <w:lang w:val="es-ES"/>
        </w:rPr>
        <w:t>Bl.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33、重阳木</w:t>
      </w:r>
      <w:r>
        <w:rPr>
          <w:rFonts w:hint="eastAsia" w:ascii="宋体" w:hAnsi="宋体"/>
          <w:color w:val="auto"/>
          <w:sz w:val="28"/>
          <w:szCs w:val="28"/>
          <w:lang w:val="en-US" w:eastAsia="zh-CN"/>
        </w:rPr>
        <w:t xml:space="preserve"> </w:t>
      </w:r>
      <w:r>
        <w:rPr>
          <w:rFonts w:hint="eastAsia"/>
          <w:i/>
          <w:color w:val="auto"/>
          <w:sz w:val="28"/>
          <w:szCs w:val="28"/>
          <w:lang w:val="en-US" w:eastAsia="zh-CN"/>
        </w:rPr>
        <w:t>Bischofia polycarpa</w:t>
      </w:r>
      <w:r>
        <w:rPr>
          <w:rFonts w:hint="eastAsia"/>
          <w:i w:val="0"/>
          <w:iCs/>
          <w:color w:val="auto"/>
          <w:sz w:val="28"/>
          <w:szCs w:val="28"/>
          <w:lang w:val="en-US" w:eastAsia="zh-CN"/>
        </w:rPr>
        <w:t xml:space="preserve">（Levl.）Airy-shaw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十五、苦木科</w:t>
      </w:r>
      <w:r>
        <w:rPr>
          <w:rFonts w:hint="eastAsia" w:eastAsia="黑体"/>
          <w:b/>
          <w:color w:val="000000"/>
          <w:sz w:val="32"/>
          <w:szCs w:val="32"/>
          <w:lang w:val="en-US" w:eastAsia="zh-CN"/>
        </w:rPr>
        <w:t>Simaroubaceae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二十七</w:t>
      </w:r>
      <w:r>
        <w:rPr>
          <w:rFonts w:hint="eastAsia" w:ascii="黑体" w:eastAsia="黑体"/>
          <w:color w:val="000000"/>
          <w:sz w:val="30"/>
          <w:szCs w:val="30"/>
          <w:lang w:val="es-ES"/>
        </w:rPr>
        <w:t>）臭椿属</w:t>
      </w:r>
      <w:r>
        <w:rPr>
          <w:rFonts w:hint="eastAsia" w:eastAsia="黑体"/>
          <w:b/>
          <w:i/>
          <w:iCs w:val="0"/>
          <w:color w:val="000000"/>
          <w:sz w:val="30"/>
          <w:szCs w:val="30"/>
          <w:lang w:val="es-ES"/>
        </w:rPr>
        <w:t xml:space="preserve">Ailanthus </w:t>
      </w:r>
      <w:r>
        <w:rPr>
          <w:rFonts w:hint="eastAsia" w:eastAsia="黑体"/>
          <w:b/>
          <w:i w:val="0"/>
          <w:iCs/>
          <w:color w:val="000000"/>
          <w:sz w:val="30"/>
          <w:szCs w:val="30"/>
          <w:lang w:val="es-ES"/>
        </w:rPr>
        <w:t>Desf.</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34、臭椿 </w:t>
      </w:r>
      <w:r>
        <w:rPr>
          <w:rFonts w:hint="eastAsia"/>
          <w:i/>
          <w:color w:val="auto"/>
          <w:sz w:val="28"/>
          <w:szCs w:val="28"/>
          <w:lang w:val="en-US" w:eastAsia="zh-CN"/>
        </w:rPr>
        <w:t xml:space="preserve">Ailanthus altissima </w:t>
      </w:r>
      <w:r>
        <w:rPr>
          <w:rFonts w:hint="eastAsia"/>
          <w:i w:val="0"/>
          <w:iCs/>
          <w:color w:val="auto"/>
          <w:sz w:val="28"/>
          <w:szCs w:val="28"/>
          <w:lang w:val="en-US" w:eastAsia="zh-CN"/>
        </w:rPr>
        <w:t xml:space="preserve">Swingle </w:t>
      </w:r>
      <w:r>
        <w:rPr>
          <w:rFonts w:hint="eastAsia" w:ascii="宋体" w:hAnsi="宋体"/>
          <w:i w:val="0"/>
          <w:iCs/>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十六、槭树科</w:t>
      </w:r>
      <w:r>
        <w:rPr>
          <w:rFonts w:hint="eastAsia" w:eastAsia="黑体"/>
          <w:b/>
          <w:color w:val="000000"/>
          <w:sz w:val="32"/>
          <w:szCs w:val="32"/>
          <w:lang w:val="en-US" w:eastAsia="zh-CN"/>
        </w:rPr>
        <w:t>Aceraceae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二十八</w:t>
      </w:r>
      <w:r>
        <w:rPr>
          <w:rFonts w:hint="eastAsia" w:ascii="黑体" w:eastAsia="黑体"/>
          <w:color w:val="000000"/>
          <w:sz w:val="30"/>
          <w:szCs w:val="30"/>
          <w:lang w:val="es-ES"/>
        </w:rPr>
        <w:t>）槭树属</w:t>
      </w:r>
      <w:r>
        <w:rPr>
          <w:rFonts w:hint="eastAsia" w:eastAsia="黑体"/>
          <w:b/>
          <w:i/>
          <w:iCs w:val="0"/>
          <w:color w:val="000000"/>
          <w:sz w:val="30"/>
          <w:szCs w:val="30"/>
          <w:lang w:val="es-ES"/>
        </w:rPr>
        <w:t>Acer</w:t>
      </w:r>
      <w:r>
        <w:rPr>
          <w:rFonts w:hint="eastAsia" w:eastAsia="黑体"/>
          <w:b/>
          <w:i w:val="0"/>
          <w:iCs/>
          <w:color w:val="000000"/>
          <w:sz w:val="30"/>
          <w:szCs w:val="30"/>
          <w:lang w:val="es-ES"/>
        </w:rPr>
        <w:t xml:space="preserve"> 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35、红枫</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Acer palmatum </w:t>
      </w:r>
      <w:r>
        <w:rPr>
          <w:rFonts w:hint="eastAsia"/>
          <w:i w:val="0"/>
          <w:iCs/>
          <w:color w:val="auto"/>
          <w:sz w:val="28"/>
          <w:szCs w:val="28"/>
          <w:lang w:val="en-US" w:eastAsia="zh-CN"/>
        </w:rPr>
        <w:t xml:space="preserve">Thunb. cv. Atropurpureum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36、三角枫</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Acer buergerianum </w:t>
      </w:r>
      <w:r>
        <w:rPr>
          <w:rFonts w:hint="eastAsia"/>
          <w:i w:val="0"/>
          <w:iCs/>
          <w:color w:val="auto"/>
          <w:sz w:val="28"/>
          <w:szCs w:val="28"/>
          <w:lang w:val="en-US" w:eastAsia="zh-CN"/>
        </w:rPr>
        <w:t>Miq.</w:t>
      </w:r>
      <w:r>
        <w:rPr>
          <w:rFonts w:hint="eastAsia" w:ascii="宋体" w:hAnsi="宋体"/>
          <w:i w:val="0"/>
          <w:iCs/>
          <w:color w:val="auto"/>
          <w:sz w:val="28"/>
          <w:szCs w:val="28"/>
          <w:lang w:val="en-US" w:eastAsia="zh-CN"/>
        </w:rPr>
        <w:t xml:space="preserve"> </w:t>
      </w:r>
      <w:r>
        <w:rPr>
          <w:rFonts w:hint="eastAsia" w:ascii="宋体" w:hAnsi="宋体"/>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十七、无患子科</w:t>
      </w:r>
      <w:r>
        <w:rPr>
          <w:rFonts w:hint="eastAsia" w:eastAsia="黑体"/>
          <w:b/>
          <w:color w:val="000000"/>
          <w:sz w:val="32"/>
          <w:szCs w:val="32"/>
          <w:lang w:val="en-US" w:eastAsia="zh-CN"/>
        </w:rPr>
        <w:t>Sapindaceae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二十九</w:t>
      </w:r>
      <w:r>
        <w:rPr>
          <w:rFonts w:hint="eastAsia" w:ascii="黑体" w:eastAsia="黑体"/>
          <w:color w:val="000000"/>
          <w:sz w:val="30"/>
          <w:szCs w:val="30"/>
          <w:lang w:val="es-ES"/>
        </w:rPr>
        <w:t xml:space="preserve">）栾树属 </w:t>
      </w:r>
      <w:r>
        <w:rPr>
          <w:rFonts w:hint="eastAsia" w:eastAsia="黑体"/>
          <w:b/>
          <w:i/>
          <w:iCs w:val="0"/>
          <w:color w:val="000000"/>
          <w:sz w:val="30"/>
          <w:szCs w:val="30"/>
          <w:lang w:val="es-ES"/>
        </w:rPr>
        <w:t xml:space="preserve">Koelreuteria </w:t>
      </w:r>
      <w:r>
        <w:rPr>
          <w:rFonts w:hint="eastAsia" w:eastAsia="黑体"/>
          <w:b/>
          <w:i w:val="0"/>
          <w:iCs/>
          <w:color w:val="000000"/>
          <w:sz w:val="30"/>
          <w:szCs w:val="30"/>
          <w:lang w:val="es-ES"/>
        </w:rPr>
        <w:t>Laxm.</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 xml:space="preserve">37、栾树 </w:t>
      </w:r>
      <w:r>
        <w:rPr>
          <w:rFonts w:hint="eastAsia"/>
          <w:i/>
          <w:color w:val="auto"/>
          <w:sz w:val="28"/>
          <w:szCs w:val="28"/>
          <w:lang w:val="en-US" w:eastAsia="zh-CN"/>
        </w:rPr>
        <w:t xml:space="preserve">Koelreuteria paniculata </w:t>
      </w:r>
      <w:r>
        <w:rPr>
          <w:rFonts w:hint="eastAsia"/>
          <w:i w:val="0"/>
          <w:iCs/>
          <w:color w:val="auto"/>
          <w:sz w:val="28"/>
          <w:szCs w:val="28"/>
          <w:lang w:val="en-US" w:eastAsia="zh-CN"/>
        </w:rPr>
        <w:t xml:space="preserve">Laxm. </w:t>
      </w:r>
      <w:r>
        <w:rPr>
          <w:rFonts w:hint="eastAsia" w:ascii="宋体" w:hAnsi="宋体"/>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十八、卫矛科</w:t>
      </w:r>
      <w:r>
        <w:rPr>
          <w:rFonts w:hint="eastAsia" w:eastAsia="黑体"/>
          <w:b/>
          <w:color w:val="000000"/>
          <w:sz w:val="32"/>
          <w:szCs w:val="32"/>
          <w:lang w:val="en-US" w:eastAsia="zh-CN"/>
        </w:rPr>
        <w:t>Celastraceae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w:t>
      </w:r>
      <w:r>
        <w:rPr>
          <w:rFonts w:hint="eastAsia" w:ascii="黑体" w:eastAsia="黑体"/>
          <w:color w:val="000000"/>
          <w:sz w:val="30"/>
          <w:szCs w:val="30"/>
          <w:lang w:val="es-ES"/>
        </w:rPr>
        <w:t>）卫矛属</w:t>
      </w:r>
      <w:r>
        <w:rPr>
          <w:rFonts w:hint="eastAsia" w:eastAsia="黑体"/>
          <w:b/>
          <w:i/>
          <w:iCs w:val="0"/>
          <w:color w:val="000000"/>
          <w:sz w:val="30"/>
          <w:szCs w:val="30"/>
          <w:lang w:val="es-ES"/>
        </w:rPr>
        <w:t>Euonymus</w:t>
      </w:r>
      <w:r>
        <w:rPr>
          <w:rFonts w:hint="eastAsia" w:eastAsia="黑体"/>
          <w:b/>
          <w:i w:val="0"/>
          <w:iCs/>
          <w:color w:val="000000"/>
          <w:sz w:val="30"/>
          <w:szCs w:val="30"/>
          <w:lang w:val="es-ES"/>
        </w:rPr>
        <w:t xml:space="preserve"> 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38、大叶黄杨</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Euonymus japonicus </w:t>
      </w:r>
      <w:r>
        <w:rPr>
          <w:rFonts w:hint="eastAsia"/>
          <w:i w:val="0"/>
          <w:iCs/>
          <w:color w:val="auto"/>
          <w:sz w:val="28"/>
          <w:szCs w:val="28"/>
          <w:lang w:val="en-US" w:eastAsia="zh-CN"/>
        </w:rPr>
        <w:t>Thunb.</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十九、黄杨科</w:t>
      </w:r>
      <w:r>
        <w:rPr>
          <w:rFonts w:hint="eastAsia" w:eastAsia="黑体"/>
          <w:b/>
          <w:color w:val="000000"/>
          <w:sz w:val="32"/>
          <w:szCs w:val="32"/>
          <w:lang w:val="en-US" w:eastAsia="zh-CN"/>
        </w:rPr>
        <w:t>Buxaceae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三十一</w:t>
      </w:r>
      <w:r>
        <w:rPr>
          <w:rFonts w:hint="eastAsia" w:ascii="黑体" w:eastAsia="黑体"/>
          <w:color w:val="000000"/>
          <w:sz w:val="30"/>
          <w:szCs w:val="30"/>
          <w:lang w:val="es-ES"/>
        </w:rPr>
        <w:t>）黄杨属</w:t>
      </w:r>
      <w:r>
        <w:rPr>
          <w:rFonts w:hint="eastAsia" w:eastAsia="黑体"/>
          <w:b/>
          <w:i/>
          <w:iCs w:val="0"/>
          <w:color w:val="000000"/>
          <w:sz w:val="30"/>
          <w:szCs w:val="30"/>
          <w:lang w:val="es-ES"/>
        </w:rPr>
        <w:t xml:space="preserve">Buxus </w:t>
      </w:r>
      <w:r>
        <w:rPr>
          <w:rFonts w:hint="eastAsia" w:eastAsia="黑体"/>
          <w:b/>
          <w:i w:val="0"/>
          <w:iCs/>
          <w:color w:val="000000"/>
          <w:sz w:val="30"/>
          <w:szCs w:val="30"/>
          <w:lang w:val="es-ES"/>
        </w:rPr>
        <w:t>L.</w:t>
      </w:r>
    </w:p>
    <w:p>
      <w:pPr>
        <w:spacing w:line="360" w:lineRule="auto"/>
        <w:ind w:firstLine="840" w:firstLineChars="300"/>
        <w:rPr>
          <w:rFonts w:hint="eastAsia" w:ascii="宋体" w:hAnsi="宋体"/>
          <w:color w:val="000000"/>
          <w:sz w:val="28"/>
          <w:szCs w:val="28"/>
          <w:lang w:val="en-US" w:eastAsia="zh-CN"/>
        </w:rPr>
      </w:pPr>
      <w:r>
        <w:rPr>
          <w:rFonts w:hint="eastAsia" w:ascii="宋体" w:hAnsi="宋体" w:eastAsia="宋体" w:cs="Times New Roman"/>
          <w:color w:val="auto"/>
          <w:sz w:val="28"/>
          <w:szCs w:val="28"/>
          <w:lang w:val="en-US" w:eastAsia="zh-CN"/>
        </w:rPr>
        <w:t>39、黄杨</w:t>
      </w:r>
      <w:r>
        <w:rPr>
          <w:rFonts w:hint="eastAsia" w:ascii="宋体" w:hAnsi="宋体"/>
          <w:color w:val="000000"/>
          <w:sz w:val="28"/>
          <w:szCs w:val="28"/>
          <w:lang w:val="en-US" w:eastAsia="zh-CN"/>
        </w:rPr>
        <w:t xml:space="preserve"> </w:t>
      </w:r>
      <w:r>
        <w:rPr>
          <w:rFonts w:hint="eastAsia"/>
          <w:i/>
          <w:color w:val="auto"/>
          <w:sz w:val="28"/>
          <w:szCs w:val="28"/>
          <w:lang w:val="en-US" w:eastAsia="zh-CN"/>
        </w:rPr>
        <w:t>Buxus sinica</w:t>
      </w:r>
      <w:r>
        <w:rPr>
          <w:rFonts w:hint="eastAsia"/>
          <w:i w:val="0"/>
          <w:iCs/>
          <w:color w:val="auto"/>
          <w:sz w:val="28"/>
          <w:szCs w:val="28"/>
          <w:lang w:val="en-US" w:eastAsia="zh-CN"/>
        </w:rPr>
        <w:t>（Rehd. et Wils.）Cheng ex M. Cheng</w:t>
      </w:r>
      <w:r>
        <w:rPr>
          <w:rFonts w:hint="eastAsia" w:ascii="宋体" w:hAnsi="宋体"/>
          <w:i w:val="0"/>
          <w:iCs/>
          <w:color w:val="000000"/>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二十、梧桐科</w:t>
      </w:r>
      <w:r>
        <w:rPr>
          <w:rFonts w:hint="eastAsia" w:eastAsia="黑体"/>
          <w:b/>
          <w:color w:val="000000"/>
          <w:sz w:val="32"/>
          <w:szCs w:val="32"/>
          <w:lang w:val="en-US" w:eastAsia="zh-CN"/>
        </w:rPr>
        <w:t>Sterculiaceae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三十二</w:t>
      </w:r>
      <w:r>
        <w:rPr>
          <w:rFonts w:hint="eastAsia" w:ascii="黑体" w:eastAsia="黑体"/>
          <w:color w:val="000000"/>
          <w:sz w:val="30"/>
          <w:szCs w:val="30"/>
          <w:lang w:val="es-ES"/>
        </w:rPr>
        <w:t>）梧桐属</w:t>
      </w:r>
      <w:r>
        <w:rPr>
          <w:rFonts w:hint="eastAsia" w:eastAsia="黑体"/>
          <w:b/>
          <w:i/>
          <w:iCs w:val="0"/>
          <w:color w:val="000000"/>
          <w:sz w:val="30"/>
          <w:szCs w:val="30"/>
          <w:lang w:val="es-ES"/>
        </w:rPr>
        <w:t xml:space="preserve"> Firmiana </w:t>
      </w:r>
      <w:r>
        <w:rPr>
          <w:rFonts w:hint="eastAsia" w:eastAsia="黑体"/>
          <w:b/>
          <w:i w:val="0"/>
          <w:iCs/>
          <w:color w:val="000000"/>
          <w:sz w:val="30"/>
          <w:szCs w:val="30"/>
          <w:lang w:val="es-ES"/>
        </w:rPr>
        <w:t>Marsili</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40、梧桐（青桐）</w:t>
      </w:r>
      <w:r>
        <w:rPr>
          <w:rFonts w:hint="eastAsia"/>
          <w:i/>
          <w:color w:val="auto"/>
          <w:sz w:val="28"/>
          <w:szCs w:val="28"/>
          <w:lang w:val="en-US" w:eastAsia="zh-CN"/>
        </w:rPr>
        <w:t>Firmiana platanifolia</w:t>
      </w:r>
      <w:r>
        <w:rPr>
          <w:rFonts w:hint="eastAsia"/>
          <w:i w:val="0"/>
          <w:iCs/>
          <w:color w:val="auto"/>
          <w:sz w:val="28"/>
          <w:szCs w:val="28"/>
          <w:lang w:val="en-US" w:eastAsia="zh-CN"/>
        </w:rPr>
        <w:t xml:space="preserve">（L. F.）Mars.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二十一、千屈菜科</w:t>
      </w:r>
      <w:r>
        <w:rPr>
          <w:rFonts w:hint="eastAsia" w:eastAsia="黑体"/>
          <w:b/>
          <w:color w:val="000000"/>
          <w:sz w:val="32"/>
          <w:szCs w:val="32"/>
          <w:lang w:val="en-US" w:eastAsia="zh-CN"/>
        </w:rPr>
        <w:t>Lythraceae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三十三</w:t>
      </w:r>
      <w:r>
        <w:rPr>
          <w:rFonts w:hint="eastAsia" w:ascii="黑体" w:eastAsia="黑体"/>
          <w:color w:val="000000"/>
          <w:sz w:val="30"/>
          <w:szCs w:val="30"/>
          <w:lang w:val="es-ES"/>
        </w:rPr>
        <w:t>）紫薇属</w:t>
      </w:r>
      <w:r>
        <w:rPr>
          <w:rFonts w:hint="eastAsia" w:eastAsia="黑体"/>
          <w:b/>
          <w:i/>
          <w:iCs w:val="0"/>
          <w:color w:val="000000"/>
          <w:sz w:val="30"/>
          <w:szCs w:val="30"/>
          <w:lang w:val="es-ES"/>
        </w:rPr>
        <w:t xml:space="preserve">Lagerstroemia </w:t>
      </w:r>
      <w:r>
        <w:rPr>
          <w:rFonts w:hint="eastAsia" w:eastAsia="黑体"/>
          <w:b/>
          <w:i w:val="0"/>
          <w:iCs/>
          <w:color w:val="000000"/>
          <w:sz w:val="30"/>
          <w:szCs w:val="30"/>
          <w:lang w:val="es-ES"/>
        </w:rPr>
        <w:t>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41、紫薇</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Lagerstroemia indica </w:t>
      </w:r>
      <w:r>
        <w:rPr>
          <w:rFonts w:hint="eastAsia"/>
          <w:i w:val="0"/>
          <w:iCs/>
          <w:color w:val="auto"/>
          <w:sz w:val="28"/>
          <w:szCs w:val="28"/>
          <w:lang w:val="en-US" w:eastAsia="zh-CN"/>
        </w:rPr>
        <w:t xml:space="preserve">L.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二十二</w:t>
      </w:r>
      <w:r>
        <w:rPr>
          <w:rFonts w:hint="eastAsia" w:ascii="黑体" w:eastAsia="黑体"/>
          <w:color w:val="000000"/>
          <w:sz w:val="32"/>
          <w:szCs w:val="32"/>
          <w:lang w:val="zh-CN" w:eastAsia="zh-CN"/>
        </w:rPr>
        <w:t>、木犀科</w:t>
      </w:r>
      <w:r>
        <w:rPr>
          <w:rFonts w:hint="eastAsia" w:ascii="黑体" w:eastAsia="黑体"/>
          <w:color w:val="000000"/>
          <w:sz w:val="32"/>
          <w:szCs w:val="32"/>
          <w:lang w:val="en-US" w:eastAsia="zh-CN"/>
        </w:rPr>
        <w:t xml:space="preserve"> </w:t>
      </w:r>
      <w:r>
        <w:rPr>
          <w:rFonts w:hint="eastAsia" w:eastAsia="黑体"/>
          <w:b/>
          <w:color w:val="000000"/>
          <w:sz w:val="32"/>
          <w:szCs w:val="32"/>
          <w:lang w:val="en-US" w:eastAsia="zh-CN"/>
        </w:rPr>
        <w:t>Oleaceae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三十四</w:t>
      </w:r>
      <w:r>
        <w:rPr>
          <w:rFonts w:hint="eastAsia" w:ascii="黑体" w:eastAsia="黑体"/>
          <w:color w:val="000000"/>
          <w:sz w:val="30"/>
          <w:szCs w:val="30"/>
          <w:lang w:val="es-ES"/>
        </w:rPr>
        <w:t>）</w:t>
      </w:r>
      <w:r>
        <w:rPr>
          <w:rFonts w:hint="eastAsia" w:ascii="黑体" w:eastAsia="黑体"/>
          <w:color w:val="000000"/>
          <w:sz w:val="30"/>
          <w:szCs w:val="30"/>
          <w:lang w:val="zh-CN"/>
        </w:rPr>
        <w:t>白蜡树属</w:t>
      </w:r>
      <w:r>
        <w:rPr>
          <w:rFonts w:hint="eastAsia" w:eastAsia="黑体"/>
          <w:b/>
          <w:i/>
          <w:iCs w:val="0"/>
          <w:color w:val="000000"/>
          <w:sz w:val="30"/>
          <w:szCs w:val="30"/>
          <w:lang w:val="es-ES"/>
        </w:rPr>
        <w:t xml:space="preserve">Fraxinus </w:t>
      </w:r>
      <w:r>
        <w:rPr>
          <w:rFonts w:hint="eastAsia" w:eastAsia="黑体"/>
          <w:b/>
          <w:i w:val="0"/>
          <w:iCs/>
          <w:color w:val="000000"/>
          <w:sz w:val="30"/>
          <w:szCs w:val="30"/>
          <w:lang w:val="es-ES"/>
        </w:rPr>
        <w:t>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42、</w:t>
      </w:r>
      <w:r>
        <w:rPr>
          <w:rFonts w:hint="eastAsia" w:ascii="宋体" w:hAnsi="宋体" w:eastAsia="宋体" w:cs="Times New Roman"/>
          <w:color w:val="auto"/>
          <w:sz w:val="28"/>
          <w:szCs w:val="28"/>
          <w:lang w:val="zh-CN" w:eastAsia="zh-CN"/>
        </w:rPr>
        <w:t>白蜡树</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Fraxinus chinensis </w:t>
      </w:r>
      <w:r>
        <w:rPr>
          <w:rFonts w:hint="eastAsia"/>
          <w:i w:val="0"/>
          <w:iCs/>
          <w:color w:val="auto"/>
          <w:sz w:val="28"/>
          <w:szCs w:val="28"/>
          <w:lang w:val="en-US" w:eastAsia="zh-CN"/>
        </w:rPr>
        <w:t>Roxb.</w:t>
      </w:r>
      <w:r>
        <w:rPr>
          <w:rFonts w:hint="eastAsia"/>
          <w:i/>
          <w:color w:val="auto"/>
          <w:sz w:val="28"/>
          <w:szCs w:val="28"/>
          <w:lang w:val="en-US" w:eastAsia="zh-CN"/>
        </w:rPr>
        <w:t xml:space="preserve">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三十五</w:t>
      </w:r>
      <w:r>
        <w:rPr>
          <w:rFonts w:hint="eastAsia" w:ascii="黑体" w:eastAsia="黑体"/>
          <w:color w:val="000000"/>
          <w:sz w:val="30"/>
          <w:szCs w:val="30"/>
          <w:lang w:val="es-ES"/>
        </w:rPr>
        <w:t>）</w:t>
      </w:r>
      <w:r>
        <w:rPr>
          <w:rFonts w:hint="eastAsia" w:ascii="黑体" w:eastAsia="黑体"/>
          <w:color w:val="000000"/>
          <w:sz w:val="30"/>
          <w:szCs w:val="30"/>
          <w:lang w:val="zh-CN"/>
        </w:rPr>
        <w:t>木犀属</w:t>
      </w:r>
      <w:r>
        <w:rPr>
          <w:rFonts w:hint="eastAsia" w:eastAsia="黑体"/>
          <w:b/>
          <w:i/>
          <w:iCs w:val="0"/>
          <w:color w:val="000000"/>
          <w:sz w:val="30"/>
          <w:szCs w:val="30"/>
          <w:lang w:val="es-ES"/>
        </w:rPr>
        <w:t xml:space="preserve">Osmanthus </w:t>
      </w:r>
      <w:r>
        <w:rPr>
          <w:rFonts w:hint="eastAsia" w:eastAsia="黑体"/>
          <w:b/>
          <w:i w:val="0"/>
          <w:iCs/>
          <w:color w:val="000000"/>
          <w:sz w:val="30"/>
          <w:szCs w:val="30"/>
          <w:lang w:val="es-ES"/>
        </w:rPr>
        <w:t>Lour.</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43、金桂</w:t>
      </w:r>
      <w:r>
        <w:rPr>
          <w:rFonts w:hint="eastAsia"/>
          <w:i/>
          <w:color w:val="auto"/>
          <w:sz w:val="28"/>
          <w:szCs w:val="28"/>
          <w:lang w:val="en-US" w:eastAsia="zh-CN"/>
        </w:rPr>
        <w:t xml:space="preserve"> </w:t>
      </w:r>
      <w:r>
        <w:rPr>
          <w:i/>
          <w:color w:val="000000"/>
          <w:sz w:val="28"/>
          <w:szCs w:val="28"/>
        </w:rPr>
        <w:t>Osmanthus frangrans</w:t>
      </w:r>
      <w:r>
        <w:rPr>
          <w:rFonts w:hint="eastAsia"/>
          <w:color w:val="000000"/>
          <w:sz w:val="28"/>
          <w:szCs w:val="28"/>
        </w:rPr>
        <w:t>（</w:t>
      </w:r>
      <w:r>
        <w:rPr>
          <w:color w:val="000000"/>
          <w:sz w:val="28"/>
          <w:szCs w:val="28"/>
        </w:rPr>
        <w:t>Thunb.</w:t>
      </w:r>
      <w:r>
        <w:rPr>
          <w:rFonts w:hint="eastAsia"/>
          <w:color w:val="000000"/>
          <w:sz w:val="28"/>
          <w:szCs w:val="28"/>
        </w:rPr>
        <w:t>）</w:t>
      </w:r>
      <w:r>
        <w:rPr>
          <w:color w:val="000000"/>
          <w:sz w:val="28"/>
          <w:szCs w:val="28"/>
        </w:rPr>
        <w:t xml:space="preserve">Lour. cv. Thunbbergii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三十六</w:t>
      </w:r>
      <w:r>
        <w:rPr>
          <w:rFonts w:hint="eastAsia" w:ascii="黑体" w:eastAsia="黑体"/>
          <w:color w:val="000000"/>
          <w:sz w:val="30"/>
          <w:szCs w:val="30"/>
          <w:lang w:val="es-ES"/>
        </w:rPr>
        <w:t>）</w:t>
      </w:r>
      <w:r>
        <w:rPr>
          <w:rFonts w:hint="eastAsia" w:ascii="黑体" w:eastAsia="黑体"/>
          <w:color w:val="000000"/>
          <w:sz w:val="30"/>
          <w:szCs w:val="30"/>
          <w:lang w:val="zh-CN"/>
        </w:rPr>
        <w:t>女贞属</w:t>
      </w:r>
      <w:r>
        <w:rPr>
          <w:rFonts w:hint="eastAsia" w:eastAsia="黑体"/>
          <w:b/>
          <w:i/>
          <w:iCs w:val="0"/>
          <w:color w:val="000000"/>
          <w:sz w:val="30"/>
          <w:szCs w:val="30"/>
          <w:lang w:val="es-ES"/>
        </w:rPr>
        <w:t>Ligustrum</w:t>
      </w:r>
      <w:r>
        <w:rPr>
          <w:rFonts w:hint="eastAsia" w:eastAsia="黑体"/>
          <w:b/>
          <w:i w:val="0"/>
          <w:iCs/>
          <w:color w:val="000000"/>
          <w:sz w:val="30"/>
          <w:szCs w:val="30"/>
          <w:lang w:val="es-ES"/>
        </w:rPr>
        <w:t xml:space="preserve"> 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44、</w:t>
      </w:r>
      <w:r>
        <w:rPr>
          <w:rFonts w:hint="eastAsia" w:ascii="宋体" w:hAnsi="宋体" w:eastAsia="宋体" w:cs="Times New Roman"/>
          <w:color w:val="auto"/>
          <w:sz w:val="28"/>
          <w:szCs w:val="28"/>
          <w:lang w:val="zh-CN" w:eastAsia="zh-CN"/>
        </w:rPr>
        <w:t>女贞</w:t>
      </w:r>
      <w:r>
        <w:rPr>
          <w:rFonts w:hint="eastAsia" w:ascii="宋体" w:hAnsi="宋体" w:eastAsia="宋体" w:cs="Times New Roman"/>
          <w:color w:val="auto"/>
          <w:sz w:val="28"/>
          <w:szCs w:val="28"/>
          <w:lang w:val="en-US" w:eastAsia="zh-CN"/>
        </w:rPr>
        <w:t xml:space="preserve"> </w:t>
      </w:r>
      <w:r>
        <w:rPr>
          <w:rFonts w:hint="eastAsia"/>
          <w:i/>
          <w:color w:val="auto"/>
          <w:sz w:val="28"/>
          <w:szCs w:val="28"/>
          <w:lang w:val="en-US" w:eastAsia="zh-CN"/>
        </w:rPr>
        <w:t xml:space="preserve">Ligustrum lucidum </w:t>
      </w:r>
      <w:r>
        <w:rPr>
          <w:rFonts w:hint="eastAsia"/>
          <w:i w:val="0"/>
          <w:iCs/>
          <w:color w:val="auto"/>
          <w:sz w:val="28"/>
          <w:szCs w:val="28"/>
          <w:lang w:val="en-US" w:eastAsia="zh-CN"/>
        </w:rPr>
        <w:t xml:space="preserve">Aiton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三十七</w:t>
      </w:r>
      <w:r>
        <w:rPr>
          <w:rFonts w:hint="eastAsia" w:ascii="黑体" w:eastAsia="黑体"/>
          <w:color w:val="000000"/>
          <w:sz w:val="30"/>
          <w:szCs w:val="30"/>
          <w:lang w:val="es-ES"/>
        </w:rPr>
        <w:t xml:space="preserve">）茉莉属 </w:t>
      </w:r>
      <w:r>
        <w:rPr>
          <w:rFonts w:hint="eastAsia" w:eastAsia="黑体"/>
          <w:b/>
          <w:i/>
          <w:iCs w:val="0"/>
          <w:color w:val="000000"/>
          <w:sz w:val="30"/>
          <w:szCs w:val="30"/>
          <w:lang w:val="es-ES"/>
        </w:rPr>
        <w:t>Jasminum</w:t>
      </w:r>
      <w:r>
        <w:rPr>
          <w:rFonts w:hint="eastAsia" w:eastAsia="黑体"/>
          <w:b/>
          <w:i w:val="0"/>
          <w:iCs/>
          <w:color w:val="000000"/>
          <w:sz w:val="30"/>
          <w:szCs w:val="30"/>
          <w:lang w:val="es-ES"/>
        </w:rPr>
        <w:t xml:space="preserve"> Linn.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45、迎春</w:t>
      </w:r>
      <w:r>
        <w:rPr>
          <w:rFonts w:hint="eastAsia" w:ascii="宋体" w:hAnsi="宋体"/>
          <w:color w:val="auto"/>
          <w:sz w:val="28"/>
          <w:szCs w:val="28"/>
          <w:lang w:val="en-US" w:eastAsia="zh-CN"/>
        </w:rPr>
        <w:t xml:space="preserve"> </w:t>
      </w:r>
      <w:r>
        <w:rPr>
          <w:rFonts w:hint="eastAsia"/>
          <w:i/>
          <w:color w:val="auto"/>
          <w:sz w:val="28"/>
          <w:szCs w:val="28"/>
          <w:lang w:val="en-US" w:eastAsia="zh-CN"/>
        </w:rPr>
        <w:t>Jasminum nudiflorum</w:t>
      </w:r>
      <w:r>
        <w:rPr>
          <w:rFonts w:hint="eastAsia"/>
          <w:i w:val="0"/>
          <w:iCs/>
          <w:color w:val="auto"/>
          <w:sz w:val="28"/>
          <w:szCs w:val="28"/>
          <w:lang w:val="en-US" w:eastAsia="zh-CN"/>
        </w:rPr>
        <w:t xml:space="preserve"> Lindl. </w:t>
      </w:r>
      <w:r>
        <w:rPr>
          <w:rFonts w:hint="eastAsia"/>
          <w:i/>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二十三</w:t>
      </w:r>
      <w:r>
        <w:rPr>
          <w:rFonts w:hint="eastAsia" w:ascii="黑体" w:eastAsia="黑体"/>
          <w:color w:val="000000"/>
          <w:sz w:val="32"/>
          <w:szCs w:val="32"/>
          <w:lang w:val="zh-CN" w:eastAsia="zh-CN"/>
        </w:rPr>
        <w:t>、玄参科</w:t>
      </w:r>
      <w:r>
        <w:rPr>
          <w:rFonts w:hint="eastAsia" w:eastAsia="黑体"/>
          <w:b/>
          <w:color w:val="000000"/>
          <w:sz w:val="32"/>
          <w:szCs w:val="32"/>
          <w:lang w:val="en-US" w:eastAsia="zh-CN"/>
        </w:rPr>
        <w:t>Scrophulariaceae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三十八</w:t>
      </w:r>
      <w:r>
        <w:rPr>
          <w:rFonts w:hint="eastAsia" w:ascii="黑体" w:eastAsia="黑体"/>
          <w:color w:val="000000"/>
          <w:sz w:val="30"/>
          <w:szCs w:val="30"/>
          <w:lang w:val="es-ES"/>
        </w:rPr>
        <w:t>）</w:t>
      </w:r>
      <w:r>
        <w:rPr>
          <w:rFonts w:hint="eastAsia" w:ascii="黑体" w:eastAsia="黑体"/>
          <w:color w:val="000000"/>
          <w:sz w:val="30"/>
          <w:szCs w:val="30"/>
          <w:lang w:val="zh-CN"/>
        </w:rPr>
        <w:t>泡桐属</w:t>
      </w:r>
      <w:r>
        <w:rPr>
          <w:rFonts w:hint="eastAsia" w:eastAsia="黑体"/>
          <w:b/>
          <w:i/>
          <w:iCs w:val="0"/>
          <w:color w:val="000000"/>
          <w:sz w:val="30"/>
          <w:szCs w:val="30"/>
          <w:lang w:val="es-ES"/>
        </w:rPr>
        <w:t>Paulownia</w:t>
      </w:r>
      <w:r>
        <w:rPr>
          <w:rFonts w:hint="eastAsia" w:eastAsia="黑体"/>
          <w:b/>
          <w:i/>
          <w:iCs w:val="0"/>
          <w:color w:val="000000"/>
          <w:sz w:val="30"/>
          <w:szCs w:val="30"/>
          <w:lang w:val="en-US" w:eastAsia="zh-CN"/>
        </w:rPr>
        <w:t xml:space="preserve"> </w:t>
      </w:r>
      <w:r>
        <w:rPr>
          <w:rFonts w:hint="eastAsia" w:eastAsia="黑体"/>
          <w:b/>
          <w:i w:val="0"/>
          <w:iCs/>
          <w:color w:val="000000"/>
          <w:sz w:val="30"/>
          <w:szCs w:val="30"/>
          <w:lang w:val="es-ES"/>
        </w:rPr>
        <w:t>Sieb. et Zucc.</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46、</w:t>
      </w:r>
      <w:r>
        <w:rPr>
          <w:rFonts w:hint="eastAsia" w:ascii="宋体" w:hAnsi="宋体" w:eastAsia="宋体" w:cs="Times New Roman"/>
          <w:color w:val="auto"/>
          <w:sz w:val="28"/>
          <w:szCs w:val="28"/>
          <w:lang w:val="zh-CN" w:eastAsia="zh-CN"/>
        </w:rPr>
        <w:t>毛泡桐</w:t>
      </w:r>
      <w:r>
        <w:rPr>
          <w:rFonts w:hint="eastAsia" w:ascii="宋体" w:hAnsi="宋体" w:eastAsia="宋体" w:cs="Times New Roman"/>
          <w:color w:val="auto"/>
          <w:sz w:val="28"/>
          <w:szCs w:val="28"/>
          <w:lang w:val="en-US" w:eastAsia="zh-CN"/>
        </w:rPr>
        <w:t xml:space="preserve"> </w:t>
      </w:r>
      <w:r>
        <w:rPr>
          <w:rFonts w:hint="eastAsia"/>
          <w:i/>
          <w:color w:val="auto"/>
          <w:sz w:val="28"/>
          <w:szCs w:val="28"/>
          <w:lang w:val="en-US" w:eastAsia="zh-CN"/>
        </w:rPr>
        <w:t xml:space="preserve">Paulownia tomentosa </w:t>
      </w:r>
      <w:r>
        <w:rPr>
          <w:rFonts w:hint="eastAsia"/>
          <w:i w:val="0"/>
          <w:iCs/>
          <w:color w:val="auto"/>
          <w:sz w:val="28"/>
          <w:szCs w:val="28"/>
          <w:lang w:val="en-US" w:eastAsia="zh-CN"/>
        </w:rPr>
        <w:t>Steud.</w:t>
      </w:r>
      <w:r>
        <w:rPr>
          <w:rFonts w:hint="eastAsia"/>
          <w:i/>
          <w:color w:val="auto"/>
          <w:sz w:val="28"/>
          <w:szCs w:val="28"/>
          <w:lang w:val="en-US" w:eastAsia="zh-CN"/>
        </w:rPr>
        <w:t xml:space="preserve"> </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二十四</w:t>
      </w:r>
      <w:r>
        <w:rPr>
          <w:rFonts w:hint="eastAsia" w:ascii="黑体" w:eastAsia="黑体"/>
          <w:color w:val="000000"/>
          <w:sz w:val="32"/>
          <w:szCs w:val="32"/>
          <w:lang w:val="zh-CN" w:eastAsia="zh-CN"/>
        </w:rPr>
        <w:t>、紫葳科</w:t>
      </w:r>
      <w:r>
        <w:rPr>
          <w:rFonts w:hint="eastAsia" w:eastAsia="黑体"/>
          <w:b/>
          <w:color w:val="000000"/>
          <w:sz w:val="32"/>
          <w:szCs w:val="32"/>
          <w:lang w:val="en-US" w:eastAsia="zh-CN"/>
        </w:rPr>
        <w:t>Bignoiaceae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三十九</w:t>
      </w:r>
      <w:r>
        <w:rPr>
          <w:rFonts w:hint="eastAsia" w:ascii="黑体" w:eastAsia="黑体"/>
          <w:color w:val="000000"/>
          <w:sz w:val="30"/>
          <w:szCs w:val="30"/>
          <w:lang w:val="es-ES"/>
        </w:rPr>
        <w:t>）</w:t>
      </w:r>
      <w:r>
        <w:rPr>
          <w:rFonts w:hint="eastAsia" w:ascii="黑体" w:eastAsia="黑体"/>
          <w:color w:val="000000"/>
          <w:sz w:val="30"/>
          <w:szCs w:val="30"/>
          <w:lang w:val="zh-CN"/>
        </w:rPr>
        <w:t>梓树属</w:t>
      </w:r>
      <w:r>
        <w:rPr>
          <w:rFonts w:hint="eastAsia" w:eastAsia="黑体"/>
          <w:b/>
          <w:i/>
          <w:iCs w:val="0"/>
          <w:color w:val="000000"/>
          <w:sz w:val="30"/>
          <w:szCs w:val="30"/>
          <w:lang w:val="es-ES"/>
        </w:rPr>
        <w:t xml:space="preserve">Catalpa </w:t>
      </w:r>
      <w:r>
        <w:rPr>
          <w:rFonts w:hint="eastAsia" w:eastAsia="黑体"/>
          <w:b/>
          <w:i w:val="0"/>
          <w:iCs/>
          <w:color w:val="000000"/>
          <w:sz w:val="30"/>
          <w:szCs w:val="30"/>
          <w:lang w:val="es-ES"/>
        </w:rPr>
        <w:t>Scop.</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47、</w:t>
      </w:r>
      <w:r>
        <w:rPr>
          <w:rFonts w:hint="eastAsia" w:ascii="宋体" w:hAnsi="宋体" w:eastAsia="宋体" w:cs="Times New Roman"/>
          <w:color w:val="auto"/>
          <w:sz w:val="28"/>
          <w:szCs w:val="28"/>
          <w:lang w:val="zh-CN" w:eastAsia="zh-CN"/>
        </w:rPr>
        <w:t>梓树</w:t>
      </w:r>
      <w:r>
        <w:rPr>
          <w:rFonts w:hint="eastAsia" w:ascii="宋体" w:hAnsi="宋体" w:eastAsia="宋体" w:cs="Times New Roman"/>
          <w:color w:val="auto"/>
          <w:sz w:val="28"/>
          <w:szCs w:val="28"/>
          <w:lang w:val="en-US" w:eastAsia="zh-CN"/>
        </w:rPr>
        <w:t xml:space="preserve"> </w:t>
      </w:r>
      <w:r>
        <w:rPr>
          <w:rFonts w:hint="eastAsia"/>
          <w:i/>
          <w:color w:val="auto"/>
          <w:sz w:val="28"/>
          <w:szCs w:val="28"/>
          <w:lang w:val="en-US" w:eastAsia="zh-CN"/>
        </w:rPr>
        <w:t xml:space="preserve">Catalpa ovata </w:t>
      </w:r>
      <w:r>
        <w:rPr>
          <w:rFonts w:hint="eastAsia"/>
          <w:i w:val="0"/>
          <w:iCs/>
          <w:color w:val="auto"/>
          <w:sz w:val="28"/>
          <w:szCs w:val="28"/>
          <w:lang w:val="en-US" w:eastAsia="zh-CN"/>
        </w:rPr>
        <w:t xml:space="preserve">Don  </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48、</w:t>
      </w:r>
      <w:r>
        <w:rPr>
          <w:rFonts w:hint="eastAsia" w:ascii="宋体" w:hAnsi="宋体" w:eastAsia="宋体" w:cs="Times New Roman"/>
          <w:color w:val="auto"/>
          <w:sz w:val="28"/>
          <w:szCs w:val="28"/>
          <w:lang w:val="zh-CN" w:eastAsia="zh-CN"/>
        </w:rPr>
        <w:t>楸树</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Catalpa bungei </w:t>
      </w:r>
      <w:r>
        <w:rPr>
          <w:rFonts w:hint="eastAsia"/>
          <w:i w:val="0"/>
          <w:iCs/>
          <w:color w:val="auto"/>
          <w:sz w:val="28"/>
          <w:szCs w:val="28"/>
          <w:lang w:val="en-US" w:eastAsia="zh-CN"/>
        </w:rPr>
        <w:t xml:space="preserve">C. A. May </w:t>
      </w:r>
      <w:r>
        <w:rPr>
          <w:rFonts w:hint="eastAsia"/>
          <w:i/>
          <w:color w:val="auto"/>
          <w:sz w:val="28"/>
          <w:szCs w:val="28"/>
          <w:lang w:val="en-US" w:eastAsia="zh-CN"/>
        </w:rPr>
        <w:t xml:space="preserve"> </w:t>
      </w:r>
    </w:p>
    <w:p>
      <w:pPr>
        <w:spacing w:line="360" w:lineRule="auto"/>
        <w:rPr>
          <w:rFonts w:hint="eastAsia" w:ascii="黑体" w:eastAsia="黑体"/>
          <w:color w:val="000000"/>
          <w:sz w:val="32"/>
          <w:szCs w:val="32"/>
        </w:rPr>
      </w:pPr>
      <w:r>
        <w:rPr>
          <w:rFonts w:hint="eastAsia" w:ascii="黑体" w:eastAsia="黑体"/>
          <w:color w:val="000000"/>
          <w:sz w:val="32"/>
          <w:szCs w:val="32"/>
          <w:lang w:val="en-US" w:eastAsia="zh-CN"/>
        </w:rPr>
        <w:t>二十五</w:t>
      </w:r>
      <w:r>
        <w:rPr>
          <w:rFonts w:hint="eastAsia" w:ascii="黑体" w:eastAsia="黑体"/>
          <w:color w:val="000000"/>
          <w:sz w:val="32"/>
          <w:szCs w:val="32"/>
        </w:rPr>
        <w:t>、百合科</w:t>
      </w:r>
      <w:r>
        <w:rPr>
          <w:rFonts w:hint="eastAsia" w:eastAsia="黑体"/>
          <w:b/>
          <w:color w:val="000000"/>
          <w:sz w:val="32"/>
          <w:szCs w:val="32"/>
          <w:lang w:val="en-US" w:eastAsia="zh-CN"/>
        </w:rPr>
        <w:t>Liliaceae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w:t>
      </w:r>
      <w:r>
        <w:rPr>
          <w:rFonts w:hint="eastAsia" w:ascii="黑体" w:eastAsia="黑体"/>
          <w:color w:val="000000"/>
          <w:sz w:val="30"/>
          <w:szCs w:val="30"/>
          <w:lang w:val="es-ES"/>
        </w:rPr>
        <w:t>）沿阶草属</w:t>
      </w:r>
      <w:r>
        <w:rPr>
          <w:rFonts w:hint="eastAsia" w:eastAsia="黑体"/>
          <w:b/>
          <w:i/>
          <w:iCs w:val="0"/>
          <w:color w:val="000000"/>
          <w:sz w:val="30"/>
          <w:szCs w:val="30"/>
          <w:lang w:val="es-ES"/>
        </w:rPr>
        <w:t xml:space="preserve">Ophiopogon </w:t>
      </w:r>
      <w:r>
        <w:rPr>
          <w:rFonts w:hint="eastAsia" w:eastAsia="黑体"/>
          <w:b/>
          <w:i w:val="0"/>
          <w:iCs/>
          <w:color w:val="000000"/>
          <w:sz w:val="30"/>
          <w:szCs w:val="30"/>
          <w:lang w:val="es-ES"/>
        </w:rPr>
        <w:t>Ker-Gawl.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49、麦冬</w:t>
      </w:r>
      <w:r>
        <w:rPr>
          <w:rFonts w:hint="eastAsia" w:ascii="宋体" w:hAnsi="宋体" w:eastAsia="宋体" w:cs="Times New Roman"/>
          <w:color w:val="auto"/>
          <w:sz w:val="28"/>
          <w:szCs w:val="28"/>
          <w:lang w:val="es-ES" w:eastAsia="zh-CN"/>
        </w:rPr>
        <w:t>（</w:t>
      </w:r>
      <w:r>
        <w:rPr>
          <w:rFonts w:hint="eastAsia" w:ascii="宋体" w:hAnsi="宋体" w:eastAsia="宋体" w:cs="Times New Roman"/>
          <w:color w:val="auto"/>
          <w:sz w:val="28"/>
          <w:szCs w:val="28"/>
          <w:lang w:val="en-US" w:eastAsia="zh-CN"/>
        </w:rPr>
        <w:t>沿阶草</w:t>
      </w:r>
      <w:r>
        <w:rPr>
          <w:rFonts w:hint="eastAsia" w:ascii="宋体" w:hAnsi="宋体" w:eastAsia="宋体" w:cs="Times New Roman"/>
          <w:color w:val="auto"/>
          <w:sz w:val="28"/>
          <w:szCs w:val="28"/>
          <w:lang w:val="es-ES" w:eastAsia="zh-CN"/>
        </w:rPr>
        <w:t>）</w:t>
      </w:r>
      <w:r>
        <w:rPr>
          <w:rFonts w:hint="eastAsia"/>
          <w:i/>
          <w:color w:val="auto"/>
          <w:sz w:val="28"/>
          <w:szCs w:val="28"/>
          <w:lang w:val="es-ES" w:eastAsia="zh-CN"/>
        </w:rPr>
        <w:t>Ophiopogon japonicus</w:t>
      </w:r>
      <w:r>
        <w:rPr>
          <w:rFonts w:hint="eastAsia"/>
          <w:i w:val="0"/>
          <w:iCs/>
          <w:color w:val="auto"/>
          <w:sz w:val="28"/>
          <w:szCs w:val="28"/>
          <w:lang w:val="es-ES" w:eastAsia="zh-CN"/>
        </w:rPr>
        <w:t xml:space="preserve"> (L. f.) Ker-Gawl.</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四十一</w:t>
      </w:r>
      <w:r>
        <w:rPr>
          <w:rFonts w:hint="eastAsia" w:ascii="黑体" w:eastAsia="黑体"/>
          <w:color w:val="000000"/>
          <w:sz w:val="30"/>
          <w:szCs w:val="30"/>
          <w:lang w:val="es-ES"/>
        </w:rPr>
        <w:t xml:space="preserve">）萱草属 </w:t>
      </w:r>
      <w:r>
        <w:rPr>
          <w:rFonts w:hint="eastAsia" w:eastAsia="黑体"/>
          <w:b/>
          <w:i/>
          <w:iCs w:val="0"/>
          <w:color w:val="000000"/>
          <w:sz w:val="30"/>
          <w:szCs w:val="30"/>
          <w:lang w:val="es-ES"/>
        </w:rPr>
        <w:t>Hemerocallis</w:t>
      </w:r>
      <w:r>
        <w:rPr>
          <w:rFonts w:hint="eastAsia" w:eastAsia="黑体"/>
          <w:b/>
          <w:i w:val="0"/>
          <w:iCs/>
          <w:color w:val="000000"/>
          <w:sz w:val="30"/>
          <w:szCs w:val="30"/>
          <w:lang w:val="es-ES"/>
        </w:rPr>
        <w:t xml:space="preserve"> 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50</w:t>
      </w:r>
      <w:r>
        <w:rPr>
          <w:rFonts w:hint="eastAsia" w:ascii="宋体" w:hAnsi="宋体" w:eastAsia="宋体" w:cs="Times New Roman"/>
          <w:color w:val="auto"/>
          <w:sz w:val="28"/>
          <w:szCs w:val="28"/>
          <w:lang w:val="es-ES" w:eastAsia="zh-CN"/>
        </w:rPr>
        <w:t>、</w:t>
      </w:r>
      <w:r>
        <w:rPr>
          <w:rFonts w:hint="eastAsia" w:ascii="宋体" w:hAnsi="宋体" w:eastAsia="宋体" w:cs="Times New Roman"/>
          <w:color w:val="auto"/>
          <w:sz w:val="28"/>
          <w:szCs w:val="28"/>
          <w:lang w:val="en-US" w:eastAsia="zh-CN"/>
        </w:rPr>
        <w:t>大花萱草</w:t>
      </w:r>
      <w:r>
        <w:rPr>
          <w:rFonts w:hint="eastAsia" w:ascii="宋体" w:hAnsi="宋体"/>
          <w:color w:val="auto"/>
          <w:sz w:val="28"/>
          <w:szCs w:val="28"/>
          <w:lang w:val="es-ES" w:eastAsia="zh-CN"/>
        </w:rPr>
        <w:t xml:space="preserve"> </w:t>
      </w:r>
      <w:r>
        <w:rPr>
          <w:rFonts w:hint="eastAsia"/>
          <w:i/>
          <w:color w:val="auto"/>
          <w:sz w:val="28"/>
          <w:szCs w:val="28"/>
          <w:lang w:val="es-ES" w:eastAsia="zh-CN"/>
        </w:rPr>
        <w:t>Hemerocallis middendorfii</w:t>
      </w:r>
      <w:r>
        <w:rPr>
          <w:rFonts w:hint="eastAsia"/>
          <w:i w:val="0"/>
          <w:iCs/>
          <w:color w:val="auto"/>
          <w:sz w:val="28"/>
          <w:szCs w:val="28"/>
          <w:lang w:val="es-ES" w:eastAsia="zh-CN"/>
        </w:rPr>
        <w:t xml:space="preserve"> Trautv. et Mey.</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二十六、鸢尾科</w:t>
      </w:r>
      <w:r>
        <w:rPr>
          <w:rFonts w:hint="eastAsia" w:eastAsia="黑体"/>
          <w:b/>
          <w:color w:val="000000"/>
          <w:sz w:val="32"/>
          <w:szCs w:val="32"/>
          <w:lang w:val="en-US" w:eastAsia="zh-CN"/>
        </w:rPr>
        <w:t>Iridaceae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四十二</w:t>
      </w:r>
      <w:r>
        <w:rPr>
          <w:rFonts w:hint="eastAsia" w:ascii="黑体" w:eastAsia="黑体"/>
          <w:color w:val="000000"/>
          <w:sz w:val="30"/>
          <w:szCs w:val="30"/>
          <w:lang w:val="es-ES"/>
        </w:rPr>
        <w:t>）鸢尾属</w:t>
      </w:r>
      <w:r>
        <w:rPr>
          <w:rFonts w:hint="eastAsia" w:eastAsia="黑体"/>
          <w:b/>
          <w:i/>
          <w:iCs w:val="0"/>
          <w:color w:val="000000"/>
          <w:sz w:val="30"/>
          <w:szCs w:val="30"/>
          <w:lang w:val="es-ES"/>
        </w:rPr>
        <w:t xml:space="preserve">Iris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51、鸢尾</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Iris tectorum </w:t>
      </w:r>
      <w:r>
        <w:rPr>
          <w:rFonts w:hint="eastAsia"/>
          <w:i w:val="0"/>
          <w:iCs/>
          <w:color w:val="auto"/>
          <w:sz w:val="28"/>
          <w:szCs w:val="28"/>
          <w:lang w:val="en-US" w:eastAsia="zh-CN"/>
        </w:rPr>
        <w:t>Maxim.</w:t>
      </w:r>
    </w:p>
    <w:p>
      <w:pPr>
        <w:spacing w:line="360" w:lineRule="auto"/>
        <w:rPr>
          <w:rFonts w:hint="eastAsia" w:ascii="黑体" w:eastAsia="黑体"/>
          <w:color w:val="000000"/>
          <w:sz w:val="32"/>
          <w:szCs w:val="32"/>
          <w:lang w:val="en-US" w:eastAsia="zh-CN"/>
        </w:rPr>
      </w:pPr>
      <w:r>
        <w:rPr>
          <w:rFonts w:hint="eastAsia" w:ascii="黑体" w:eastAsia="黑体"/>
          <w:color w:val="000000"/>
          <w:sz w:val="32"/>
          <w:szCs w:val="32"/>
          <w:lang w:val="en-US" w:eastAsia="zh-CN"/>
        </w:rPr>
        <w:t>二十七、禾本科</w:t>
      </w:r>
      <w:r>
        <w:rPr>
          <w:rFonts w:hint="eastAsia" w:eastAsia="黑体"/>
          <w:b/>
          <w:color w:val="000000"/>
          <w:sz w:val="32"/>
          <w:szCs w:val="32"/>
          <w:lang w:val="en-US" w:eastAsia="zh-CN"/>
        </w:rPr>
        <w:t>Gramineae</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四十三</w:t>
      </w:r>
      <w:r>
        <w:rPr>
          <w:rFonts w:hint="eastAsia" w:ascii="黑体" w:eastAsia="黑体"/>
          <w:color w:val="000000"/>
          <w:sz w:val="30"/>
          <w:szCs w:val="30"/>
          <w:lang w:val="es-ES"/>
        </w:rPr>
        <w:t xml:space="preserve">）芦苇属 </w:t>
      </w:r>
      <w:r>
        <w:rPr>
          <w:rFonts w:hint="eastAsia" w:eastAsia="黑体"/>
          <w:b/>
          <w:i/>
          <w:iCs w:val="0"/>
          <w:color w:val="000000"/>
          <w:sz w:val="30"/>
          <w:szCs w:val="30"/>
          <w:lang w:val="es-ES"/>
        </w:rPr>
        <w:t xml:space="preserve">Phragmites </w:t>
      </w:r>
      <w:r>
        <w:rPr>
          <w:rFonts w:hint="eastAsia" w:eastAsia="黑体"/>
          <w:b/>
          <w:i w:val="0"/>
          <w:iCs/>
          <w:color w:val="000000"/>
          <w:sz w:val="30"/>
          <w:szCs w:val="30"/>
          <w:lang w:val="es-ES"/>
        </w:rPr>
        <w:t>Trin.</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52、芦苇</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Phragmites australis Trin. </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四十四</w:t>
      </w:r>
      <w:r>
        <w:rPr>
          <w:rFonts w:hint="eastAsia" w:ascii="黑体" w:eastAsia="黑体"/>
          <w:color w:val="000000"/>
          <w:sz w:val="30"/>
          <w:szCs w:val="30"/>
          <w:lang w:val="es-ES"/>
        </w:rPr>
        <w:t xml:space="preserve">）黑麦草属 </w:t>
      </w:r>
      <w:r>
        <w:rPr>
          <w:rFonts w:hint="eastAsia" w:eastAsia="黑体"/>
          <w:b/>
          <w:i/>
          <w:iCs w:val="0"/>
          <w:color w:val="000000"/>
          <w:sz w:val="30"/>
          <w:szCs w:val="30"/>
          <w:lang w:val="es-ES"/>
        </w:rPr>
        <w:t xml:space="preserve">Lolium </w:t>
      </w:r>
      <w:r>
        <w:rPr>
          <w:rFonts w:hint="eastAsia" w:eastAsia="黑体"/>
          <w:b/>
          <w:i w:val="0"/>
          <w:iCs/>
          <w:color w:val="000000"/>
          <w:sz w:val="30"/>
          <w:szCs w:val="30"/>
          <w:lang w:val="es-ES"/>
        </w:rPr>
        <w:t>L.</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53、黑麦草</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Lolium perenne </w:t>
      </w:r>
      <w:r>
        <w:rPr>
          <w:rFonts w:hint="eastAsia"/>
          <w:i w:val="0"/>
          <w:iCs/>
          <w:color w:val="auto"/>
          <w:sz w:val="28"/>
          <w:szCs w:val="28"/>
          <w:lang w:val="en-US" w:eastAsia="zh-CN"/>
        </w:rPr>
        <w:t>L.</w:t>
      </w:r>
    </w:p>
    <w:p>
      <w:pPr>
        <w:spacing w:line="360" w:lineRule="auto"/>
        <w:ind w:firstLine="600" w:firstLineChars="200"/>
        <w:rPr>
          <w:rFonts w:hint="eastAsia" w:ascii="黑体" w:eastAsia="黑体"/>
          <w:color w:val="000000"/>
          <w:sz w:val="30"/>
          <w:szCs w:val="30"/>
          <w:lang w:val="es-ES"/>
        </w:rPr>
      </w:pPr>
      <w:r>
        <w:rPr>
          <w:rFonts w:hint="eastAsia" w:ascii="黑体" w:eastAsia="黑体"/>
          <w:color w:val="000000"/>
          <w:sz w:val="30"/>
          <w:szCs w:val="30"/>
          <w:lang w:val="es-ES"/>
        </w:rPr>
        <w:t>（</w:t>
      </w:r>
      <w:r>
        <w:rPr>
          <w:rFonts w:hint="eastAsia" w:ascii="黑体" w:eastAsia="黑体"/>
          <w:color w:val="000000"/>
          <w:sz w:val="30"/>
          <w:szCs w:val="30"/>
          <w:lang w:val="en-US" w:eastAsia="zh-CN"/>
        </w:rPr>
        <w:t>四十五</w:t>
      </w:r>
      <w:r>
        <w:rPr>
          <w:rFonts w:hint="eastAsia" w:ascii="黑体" w:eastAsia="黑体"/>
          <w:color w:val="000000"/>
          <w:sz w:val="30"/>
          <w:szCs w:val="30"/>
          <w:lang w:val="es-ES"/>
        </w:rPr>
        <w:t>）刚竹属</w:t>
      </w:r>
      <w:r>
        <w:rPr>
          <w:rFonts w:hint="eastAsia" w:eastAsia="黑体"/>
          <w:b/>
          <w:i/>
          <w:iCs w:val="0"/>
          <w:color w:val="000000"/>
          <w:sz w:val="30"/>
          <w:szCs w:val="30"/>
          <w:lang w:val="es-ES"/>
        </w:rPr>
        <w:t xml:space="preserve">Phyllostachys </w:t>
      </w:r>
      <w:r>
        <w:rPr>
          <w:rFonts w:hint="eastAsia" w:eastAsia="黑体"/>
          <w:b/>
          <w:i w:val="0"/>
          <w:iCs/>
          <w:color w:val="000000"/>
          <w:sz w:val="30"/>
          <w:szCs w:val="30"/>
          <w:lang w:val="es-ES"/>
        </w:rPr>
        <w:t>Sieb. et Zucc.</w:t>
      </w:r>
    </w:p>
    <w:p>
      <w:pPr>
        <w:autoSpaceDE w:val="0"/>
        <w:autoSpaceDN w:val="0"/>
        <w:ind w:firstLine="840" w:firstLineChars="300"/>
        <w:rPr>
          <w:rFonts w:hint="eastAsia" w:ascii="宋体" w:hAnsi="宋体"/>
          <w:color w:val="auto"/>
          <w:sz w:val="28"/>
          <w:szCs w:val="28"/>
          <w:lang w:val="en-US" w:eastAsia="zh-CN"/>
        </w:rPr>
      </w:pPr>
      <w:r>
        <w:rPr>
          <w:rFonts w:hint="eastAsia" w:ascii="宋体" w:hAnsi="宋体" w:eastAsia="宋体" w:cs="Times New Roman"/>
          <w:color w:val="auto"/>
          <w:sz w:val="28"/>
          <w:szCs w:val="28"/>
          <w:lang w:val="en-US" w:eastAsia="zh-CN"/>
        </w:rPr>
        <w:t>54、早园竹</w:t>
      </w:r>
      <w:r>
        <w:rPr>
          <w:rFonts w:hint="eastAsia" w:ascii="宋体" w:hAnsi="宋体"/>
          <w:color w:val="auto"/>
          <w:sz w:val="28"/>
          <w:szCs w:val="28"/>
          <w:lang w:val="en-US" w:eastAsia="zh-CN"/>
        </w:rPr>
        <w:t xml:space="preserve"> </w:t>
      </w:r>
      <w:r>
        <w:rPr>
          <w:rFonts w:hint="eastAsia"/>
          <w:i/>
          <w:color w:val="auto"/>
          <w:sz w:val="28"/>
          <w:szCs w:val="28"/>
          <w:lang w:val="en-US" w:eastAsia="zh-CN"/>
        </w:rPr>
        <w:t xml:space="preserve">Phyllostachys propinqua </w:t>
      </w:r>
      <w:r>
        <w:rPr>
          <w:rFonts w:hint="eastAsia"/>
          <w:i w:val="0"/>
          <w:iCs/>
          <w:color w:val="auto"/>
          <w:sz w:val="28"/>
          <w:szCs w:val="28"/>
          <w:lang w:val="en-US" w:eastAsia="zh-CN"/>
        </w:rPr>
        <w:t>McClure</w:t>
      </w:r>
    </w:p>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firstLine="56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left="0" w:leftChars="0" w:firstLine="0" w:firstLineChars="0"/>
        <w:jc w:val="both"/>
        <w:rPr>
          <w:rFonts w:hint="eastAsia" w:ascii="黑体" w:hAnsi="黑体" w:eastAsia="黑体" w:cs="黑体"/>
          <w:color w:val="auto"/>
          <w:sz w:val="36"/>
          <w:szCs w:val="36"/>
          <w:lang w:val="en-US" w:eastAsia="zh-CN"/>
        </w:rPr>
      </w:pPr>
    </w:p>
    <w:p>
      <w:pPr>
        <w:widowControl/>
        <w:adjustRightInd/>
        <w:snapToGrid/>
        <w:spacing w:line="360" w:lineRule="auto"/>
        <w:ind w:left="0" w:leftChars="0" w:firstLine="0" w:firstLineChars="0"/>
        <w:jc w:val="both"/>
        <w:rPr>
          <w:rFonts w:hint="eastAsia" w:ascii="黑体" w:hAnsi="黑体" w:eastAsia="黑体" w:cs="黑体"/>
          <w:color w:val="auto"/>
          <w:sz w:val="36"/>
          <w:szCs w:val="36"/>
          <w:lang w:val="en-US" w:eastAsia="zh-CN"/>
        </w:rPr>
      </w:pPr>
    </w:p>
    <w:p>
      <w:pPr>
        <w:pStyle w:val="41"/>
        <w:keepNext w:val="0"/>
        <w:keepLines w:val="0"/>
        <w:pageBreakBefore/>
        <w:widowControl/>
        <w:adjustRightInd w:val="0"/>
        <w:snapToGrid w:val="0"/>
        <w:spacing w:before="240" w:beforeLines="100" w:after="0" w:afterLines="0" w:line="360" w:lineRule="auto"/>
        <w:ind w:firstLine="0" w:firstLineChars="0"/>
        <w:jc w:val="both"/>
        <w:rPr>
          <w:rFonts w:hint="eastAsia" w:cs="Times New Roman"/>
          <w:b w:val="0"/>
          <w:bCs w:val="0"/>
          <w:i w:val="0"/>
          <w:iCs/>
          <w:color w:val="auto"/>
          <w:kern w:val="44"/>
          <w:szCs w:val="44"/>
          <w:lang w:val="en-US" w:eastAsia="zh-CN"/>
        </w:rPr>
      </w:pPr>
      <w:bookmarkStart w:id="115" w:name="_Toc24671"/>
      <w:r>
        <w:rPr>
          <w:rFonts w:hint="eastAsia" w:cs="Times New Roman"/>
          <w:b w:val="0"/>
          <w:bCs w:val="0"/>
          <w:i w:val="0"/>
          <w:iCs/>
          <w:color w:val="auto"/>
          <w:kern w:val="44"/>
          <w:szCs w:val="44"/>
          <w:lang w:val="en-US" w:eastAsia="zh-CN"/>
        </w:rPr>
        <w:t>附录</w:t>
      </w:r>
      <w:r>
        <w:rPr>
          <w:rFonts w:hint="eastAsia" w:ascii="黑体" w:hAnsi="黑体" w:eastAsia="黑体" w:cs="黑体"/>
          <w:b w:val="0"/>
          <w:bCs w:val="0"/>
          <w:i w:val="0"/>
          <w:iCs/>
          <w:color w:val="auto"/>
          <w:kern w:val="44"/>
          <w:szCs w:val="44"/>
          <w:lang w:val="en-US" w:eastAsia="zh-CN"/>
        </w:rPr>
        <w:t>2</w:t>
      </w:r>
      <w:bookmarkEnd w:id="115"/>
    </w:p>
    <w:p>
      <w:pPr>
        <w:spacing w:after="312" w:afterLines="100"/>
        <w:jc w:val="center"/>
        <w:rPr>
          <w:rFonts w:ascii="黑体" w:eastAsia="黑体" w:cs="宋体"/>
          <w:kern w:val="0"/>
          <w:sz w:val="32"/>
          <w:szCs w:val="32"/>
        </w:rPr>
      </w:pPr>
      <w:r>
        <w:rPr>
          <w:rFonts w:hint="eastAsia" w:ascii="黑体" w:hAnsi="黑体" w:eastAsia="黑体"/>
          <w:sz w:val="36"/>
          <w:szCs w:val="36"/>
        </w:rPr>
        <w:t>台前县西凤省级森林公园主要</w:t>
      </w:r>
      <w:r>
        <w:rPr>
          <w:rFonts w:hint="eastAsia" w:ascii="黑体" w:hAnsi="黑体" w:eastAsia="黑体"/>
          <w:sz w:val="36"/>
          <w:szCs w:val="36"/>
          <w:lang w:val="en-US" w:eastAsia="zh-CN"/>
        </w:rPr>
        <w:t>鸟类</w:t>
      </w:r>
      <w:r>
        <w:rPr>
          <w:rFonts w:hint="eastAsia" w:ascii="黑体" w:hAnsi="黑体" w:eastAsia="黑体"/>
          <w:sz w:val="36"/>
          <w:szCs w:val="36"/>
        </w:rPr>
        <w:t>名录</w:t>
      </w:r>
    </w:p>
    <w:p>
      <w:pPr>
        <w:jc w:val="center"/>
        <w:rPr>
          <w:rFonts w:ascii="黑体" w:hAnsi="黑体" w:eastAsia="黑体" w:cs="黑体"/>
          <w:color w:val="auto"/>
          <w:sz w:val="24"/>
          <w:szCs w:val="24"/>
        </w:rPr>
      </w:pPr>
      <w:r>
        <w:rPr>
          <w:rFonts w:hint="eastAsia" w:ascii="黑体" w:eastAsia="黑体" w:cs="宋体"/>
          <w:color w:val="auto"/>
          <w:kern w:val="0"/>
          <w:sz w:val="32"/>
          <w:szCs w:val="32"/>
          <w:lang w:val="en-US" w:eastAsia="zh-CN"/>
        </w:rPr>
        <w:t>一</w:t>
      </w:r>
      <w:r>
        <w:rPr>
          <w:rFonts w:hint="eastAsia" w:ascii="黑体" w:eastAsia="黑体" w:cs="宋体"/>
          <w:color w:val="auto"/>
          <w:kern w:val="0"/>
          <w:sz w:val="32"/>
          <w:szCs w:val="32"/>
        </w:rPr>
        <w:t>、鹳形目</w:t>
      </w:r>
      <w:r>
        <w:rPr>
          <w:rFonts w:hint="eastAsia"/>
          <w:b/>
          <w:bCs/>
          <w:color w:val="auto"/>
          <w:kern w:val="0"/>
          <w:sz w:val="32"/>
          <w:szCs w:val="32"/>
        </w:rPr>
        <w:t>CICONIIFORMES</w:t>
      </w:r>
    </w:p>
    <w:p>
      <w:pPr>
        <w:rPr>
          <w:rFonts w:ascii="宋体" w:hAnsi="宋体" w:cs="宋体"/>
          <w:color w:val="auto"/>
          <w:kern w:val="0"/>
          <w:sz w:val="28"/>
          <w:szCs w:val="28"/>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一</w:t>
      </w:r>
      <w:r>
        <w:rPr>
          <w:rFonts w:hint="eastAsia" w:ascii="黑体" w:eastAsia="黑体" w:cs="宋体"/>
          <w:color w:val="auto"/>
          <w:kern w:val="0"/>
          <w:sz w:val="30"/>
          <w:szCs w:val="30"/>
        </w:rPr>
        <w:t>）鹭科</w:t>
      </w:r>
      <w:r>
        <w:rPr>
          <w:b/>
          <w:bCs/>
          <w:color w:val="auto"/>
          <w:kern w:val="0"/>
          <w:sz w:val="30"/>
          <w:szCs w:val="30"/>
        </w:rPr>
        <w:t>Ardeidae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1</w:t>
      </w:r>
      <w:r>
        <w:rPr>
          <w:rFonts w:hint="eastAsia" w:ascii="黑体" w:eastAsia="黑体" w:cs="宋体"/>
          <w:color w:val="auto"/>
          <w:kern w:val="0"/>
          <w:sz w:val="30"/>
          <w:szCs w:val="30"/>
        </w:rPr>
        <w:t xml:space="preserve">、夜鹭属 </w:t>
      </w:r>
      <w:r>
        <w:rPr>
          <w:rFonts w:eastAsia="黑体"/>
          <w:i/>
          <w:iCs/>
          <w:color w:val="auto"/>
          <w:sz w:val="30"/>
          <w:szCs w:val="30"/>
        </w:rPr>
        <w:t>Nycticorax</w:t>
      </w:r>
    </w:p>
    <w:p>
      <w:pPr>
        <w:ind w:firstLine="700" w:firstLineChars="250"/>
        <w:rPr>
          <w:rFonts w:hint="eastAsia" w:ascii="黑体" w:eastAsia="黑体" w:cs="宋体"/>
          <w:color w:val="auto"/>
          <w:kern w:val="0"/>
          <w:sz w:val="32"/>
          <w:szCs w:val="32"/>
          <w:lang w:val="en-US" w:eastAsia="zh-CN"/>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1</w:t>
      </w:r>
      <w:r>
        <w:rPr>
          <w:rFonts w:hint="eastAsia" w:ascii="宋体" w:hAnsi="宋体" w:cs="宋体"/>
          <w:color w:val="auto"/>
          <w:kern w:val="0"/>
          <w:sz w:val="28"/>
          <w:szCs w:val="28"/>
        </w:rPr>
        <w:t>）</w:t>
      </w:r>
      <w:r>
        <w:rPr>
          <w:rFonts w:hint="eastAsia" w:ascii="宋体" w:hAnsi="宋体" w:eastAsia="宋体" w:cs="宋体"/>
          <w:color w:val="auto"/>
          <w:kern w:val="0"/>
          <w:sz w:val="28"/>
          <w:szCs w:val="28"/>
        </w:rPr>
        <w:t>夜鹭</w:t>
      </w:r>
      <w:r>
        <w:rPr>
          <w:rFonts w:hint="eastAsia" w:ascii="宋体" w:hAnsi="宋体" w:cs="宋体"/>
          <w:color w:val="auto"/>
          <w:kern w:val="0"/>
          <w:sz w:val="28"/>
          <w:szCs w:val="28"/>
        </w:rPr>
        <w:t xml:space="preserve"> </w:t>
      </w:r>
      <w:r>
        <w:rPr>
          <w:i/>
          <w:iCs/>
          <w:color w:val="auto"/>
          <w:kern w:val="0"/>
          <w:sz w:val="28"/>
          <w:szCs w:val="28"/>
        </w:rPr>
        <w:t>Nycticorax nycticorax</w:t>
      </w:r>
    </w:p>
    <w:p>
      <w:pPr>
        <w:jc w:val="center"/>
        <w:rPr>
          <w:rFonts w:hint="eastAsia"/>
          <w:b/>
          <w:bCs/>
          <w:color w:val="auto"/>
          <w:kern w:val="0"/>
          <w:sz w:val="32"/>
          <w:szCs w:val="32"/>
          <w:lang w:val="en-US" w:eastAsia="zh-CN"/>
        </w:rPr>
      </w:pPr>
      <w:r>
        <w:rPr>
          <w:rFonts w:hint="eastAsia" w:ascii="黑体" w:eastAsia="黑体" w:cs="宋体"/>
          <w:color w:val="auto"/>
          <w:kern w:val="0"/>
          <w:sz w:val="32"/>
          <w:szCs w:val="32"/>
          <w:lang w:val="en-US" w:eastAsia="zh-CN"/>
        </w:rPr>
        <w:t>二、鸡形目</w:t>
      </w:r>
      <w:r>
        <w:rPr>
          <w:rFonts w:hint="eastAsia"/>
          <w:b/>
          <w:bCs/>
          <w:color w:val="auto"/>
          <w:kern w:val="0"/>
          <w:sz w:val="32"/>
          <w:szCs w:val="32"/>
          <w:lang w:val="en-US" w:eastAsia="zh-CN"/>
        </w:rPr>
        <w:t>GALLIFORMES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二</w:t>
      </w:r>
      <w:r>
        <w:rPr>
          <w:rFonts w:hint="eastAsia" w:ascii="黑体" w:eastAsia="黑体" w:cs="宋体"/>
          <w:color w:val="auto"/>
          <w:kern w:val="0"/>
          <w:sz w:val="30"/>
          <w:szCs w:val="30"/>
        </w:rPr>
        <w:t xml:space="preserve">）雉科 </w:t>
      </w:r>
      <w:r>
        <w:rPr>
          <w:rFonts w:hint="eastAsia"/>
          <w:b/>
          <w:bCs/>
          <w:color w:val="auto"/>
          <w:kern w:val="0"/>
          <w:sz w:val="30"/>
          <w:szCs w:val="30"/>
        </w:rPr>
        <w:t>Phasianidae</w:t>
      </w:r>
    </w:p>
    <w:p>
      <w:pPr>
        <w:ind w:firstLine="750" w:firstLineChars="250"/>
        <w:rPr>
          <w:rFonts w:ascii="黑体" w:hAnsi="黑体" w:eastAsia="黑体" w:cs="黑体"/>
          <w:i/>
          <w:color w:val="auto"/>
          <w:szCs w:val="21"/>
        </w:rPr>
      </w:pPr>
      <w:r>
        <w:rPr>
          <w:rFonts w:hint="eastAsia" w:ascii="黑体" w:eastAsia="黑体" w:cs="宋体"/>
          <w:color w:val="auto"/>
          <w:kern w:val="0"/>
          <w:sz w:val="30"/>
          <w:szCs w:val="30"/>
          <w:lang w:val="en-US" w:eastAsia="zh-CN"/>
        </w:rPr>
        <w:t>2</w:t>
      </w:r>
      <w:r>
        <w:rPr>
          <w:rFonts w:hint="eastAsia" w:ascii="黑体" w:eastAsia="黑体" w:cs="宋体"/>
          <w:color w:val="auto"/>
          <w:kern w:val="0"/>
          <w:sz w:val="30"/>
          <w:szCs w:val="30"/>
        </w:rPr>
        <w:t xml:space="preserve">、雉属 </w:t>
      </w:r>
      <w:r>
        <w:rPr>
          <w:rFonts w:hint="eastAsia" w:eastAsia="黑体"/>
          <w:i/>
          <w:iCs/>
          <w:color w:val="auto"/>
          <w:sz w:val="30"/>
          <w:szCs w:val="30"/>
        </w:rPr>
        <w:t>Phasianus</w:t>
      </w:r>
    </w:p>
    <w:p>
      <w:pPr>
        <w:ind w:firstLine="700" w:firstLineChars="250"/>
        <w:rPr>
          <w:rFonts w:ascii="黑体" w:eastAsia="黑体" w:cs="宋体"/>
          <w:color w:val="auto"/>
          <w:kern w:val="0"/>
          <w:sz w:val="32"/>
          <w:szCs w:val="32"/>
        </w:rPr>
      </w:pPr>
      <w:r>
        <w:rPr>
          <w:rFonts w:hint="eastAsia" w:ascii="宋体" w:hAnsi="宋体" w:cs="宋体"/>
          <w:color w:val="auto"/>
          <w:kern w:val="0"/>
          <w:sz w:val="28"/>
          <w:szCs w:val="28"/>
        </w:rPr>
        <w:t>（2）</w:t>
      </w:r>
      <w:r>
        <w:rPr>
          <w:rFonts w:hint="eastAsia" w:ascii="宋体" w:hAnsi="宋体" w:eastAsia="宋体" w:cs="宋体"/>
          <w:color w:val="auto"/>
          <w:kern w:val="0"/>
          <w:sz w:val="28"/>
          <w:szCs w:val="28"/>
        </w:rPr>
        <w:t>环颈雉</w:t>
      </w:r>
      <w:r>
        <w:rPr>
          <w:rFonts w:hint="eastAsia" w:ascii="宋体" w:hAnsi="宋体" w:cs="宋体"/>
          <w:color w:val="auto"/>
          <w:kern w:val="0"/>
          <w:sz w:val="28"/>
          <w:szCs w:val="28"/>
        </w:rPr>
        <w:t xml:space="preserve"> </w:t>
      </w:r>
      <w:r>
        <w:rPr>
          <w:rFonts w:hint="eastAsia"/>
          <w:i/>
          <w:iCs/>
          <w:color w:val="auto"/>
          <w:kern w:val="0"/>
          <w:sz w:val="28"/>
          <w:szCs w:val="28"/>
        </w:rPr>
        <w:t>Phasianus colchicus</w:t>
      </w:r>
    </w:p>
    <w:p>
      <w:pPr>
        <w:jc w:val="center"/>
        <w:rPr>
          <w:rFonts w:ascii="黑体" w:hAnsi="黑体" w:eastAsia="黑体" w:cs="黑体"/>
          <w:color w:val="auto"/>
          <w:sz w:val="24"/>
          <w:szCs w:val="24"/>
        </w:rPr>
      </w:pPr>
      <w:r>
        <w:rPr>
          <w:rFonts w:hint="eastAsia" w:ascii="黑体" w:eastAsia="黑体" w:cs="宋体"/>
          <w:color w:val="auto"/>
          <w:kern w:val="0"/>
          <w:sz w:val="32"/>
          <w:szCs w:val="32"/>
          <w:lang w:val="en-US" w:eastAsia="zh-CN"/>
        </w:rPr>
        <w:t>三</w:t>
      </w:r>
      <w:r>
        <w:rPr>
          <w:rFonts w:hint="eastAsia" w:ascii="黑体" w:eastAsia="黑体" w:cs="宋体"/>
          <w:color w:val="auto"/>
          <w:kern w:val="0"/>
          <w:sz w:val="32"/>
          <w:szCs w:val="32"/>
        </w:rPr>
        <w:t>、鹤形目</w:t>
      </w:r>
      <w:r>
        <w:rPr>
          <w:rFonts w:hint="eastAsia"/>
          <w:b/>
          <w:bCs/>
          <w:color w:val="auto"/>
          <w:kern w:val="0"/>
          <w:sz w:val="32"/>
          <w:szCs w:val="32"/>
        </w:rPr>
        <w:t>GRUIFORMES</w:t>
      </w:r>
    </w:p>
    <w:p>
      <w:pPr>
        <w:rPr>
          <w:b/>
          <w:bCs/>
          <w:color w:val="auto"/>
          <w:kern w:val="0"/>
          <w:sz w:val="30"/>
          <w:szCs w:val="30"/>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三</w:t>
      </w:r>
      <w:r>
        <w:rPr>
          <w:rFonts w:hint="eastAsia" w:ascii="黑体" w:eastAsia="黑体" w:cs="宋体"/>
          <w:color w:val="auto"/>
          <w:kern w:val="0"/>
          <w:sz w:val="30"/>
          <w:szCs w:val="30"/>
        </w:rPr>
        <w:t>）秧鸡科</w:t>
      </w:r>
      <w:r>
        <w:rPr>
          <w:rFonts w:hint="eastAsia"/>
          <w:b/>
          <w:bCs/>
          <w:color w:val="auto"/>
          <w:kern w:val="0"/>
          <w:sz w:val="30"/>
          <w:szCs w:val="30"/>
        </w:rPr>
        <w:t>Rallidae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3</w:t>
      </w:r>
      <w:r>
        <w:rPr>
          <w:rFonts w:hint="eastAsia" w:ascii="黑体" w:eastAsia="黑体" w:cs="宋体"/>
          <w:color w:val="auto"/>
          <w:kern w:val="0"/>
          <w:sz w:val="30"/>
          <w:szCs w:val="30"/>
        </w:rPr>
        <w:t>、骨顶属</w:t>
      </w:r>
      <w:r>
        <w:rPr>
          <w:rFonts w:hint="eastAsia" w:eastAsia="黑体"/>
          <w:i/>
          <w:iCs/>
          <w:color w:val="auto"/>
          <w:sz w:val="30"/>
          <w:szCs w:val="30"/>
        </w:rPr>
        <w:t>Fulica</w:t>
      </w:r>
    </w:p>
    <w:p>
      <w:pPr>
        <w:ind w:firstLine="700" w:firstLineChars="250"/>
        <w:rPr>
          <w:i/>
          <w:iCs/>
          <w:color w:val="auto"/>
          <w:szCs w:val="21"/>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3</w:t>
      </w:r>
      <w:r>
        <w:rPr>
          <w:rFonts w:hint="eastAsia" w:ascii="宋体" w:hAnsi="宋体" w:cs="宋体"/>
          <w:color w:val="auto"/>
          <w:kern w:val="0"/>
          <w:sz w:val="28"/>
          <w:szCs w:val="28"/>
        </w:rPr>
        <w:t>）</w:t>
      </w:r>
      <w:r>
        <w:rPr>
          <w:rFonts w:hint="eastAsia" w:ascii="宋体" w:hAnsi="宋体" w:eastAsia="宋体" w:cs="宋体"/>
          <w:color w:val="auto"/>
          <w:kern w:val="0"/>
          <w:sz w:val="28"/>
          <w:szCs w:val="28"/>
        </w:rPr>
        <w:t>白骨顶</w:t>
      </w:r>
      <w:r>
        <w:rPr>
          <w:rFonts w:hint="eastAsia"/>
          <w:i/>
          <w:iCs/>
          <w:color w:val="auto"/>
          <w:kern w:val="0"/>
          <w:sz w:val="28"/>
          <w:szCs w:val="28"/>
        </w:rPr>
        <w:t>Fulica atra</w:t>
      </w:r>
    </w:p>
    <w:p>
      <w:pPr>
        <w:jc w:val="center"/>
        <w:rPr>
          <w:rFonts w:hint="eastAsia" w:ascii="黑体" w:eastAsia="黑体" w:cs="宋体"/>
          <w:color w:val="auto"/>
          <w:kern w:val="0"/>
          <w:sz w:val="32"/>
          <w:szCs w:val="32"/>
          <w:lang w:val="en-US" w:eastAsia="zh-CN"/>
        </w:rPr>
      </w:pPr>
      <w:r>
        <w:rPr>
          <w:rFonts w:hint="eastAsia" w:ascii="黑体" w:eastAsia="黑体" w:cs="宋体"/>
          <w:color w:val="auto"/>
          <w:kern w:val="0"/>
          <w:sz w:val="32"/>
          <w:szCs w:val="32"/>
          <w:lang w:val="en-US" w:eastAsia="zh-CN"/>
        </w:rPr>
        <w:t>四、鸻形目</w:t>
      </w:r>
      <w:r>
        <w:rPr>
          <w:rFonts w:hint="eastAsia"/>
          <w:b/>
          <w:bCs/>
          <w:color w:val="auto"/>
          <w:kern w:val="0"/>
          <w:sz w:val="32"/>
          <w:szCs w:val="32"/>
          <w:lang w:val="en-US" w:eastAsia="zh-CN"/>
        </w:rPr>
        <w:t>CHARADRIIFORMES</w:t>
      </w:r>
    </w:p>
    <w:p>
      <w:pPr>
        <w:rPr>
          <w:b/>
          <w:color w:val="auto"/>
          <w:kern w:val="0"/>
          <w:sz w:val="30"/>
          <w:szCs w:val="30"/>
        </w:rPr>
      </w:pPr>
      <w:r>
        <w:rPr>
          <w:rFonts w:hint="eastAsia" w:ascii="黑体" w:hAnsi="黑体" w:eastAsia="黑体" w:cs="宋体"/>
          <w:color w:val="auto"/>
          <w:kern w:val="0"/>
          <w:sz w:val="30"/>
          <w:szCs w:val="30"/>
        </w:rPr>
        <w:t>（</w:t>
      </w:r>
      <w:r>
        <w:rPr>
          <w:rFonts w:hint="eastAsia" w:ascii="黑体" w:hAnsi="黑体" w:eastAsia="黑体" w:cs="宋体"/>
          <w:color w:val="auto"/>
          <w:kern w:val="0"/>
          <w:sz w:val="30"/>
          <w:szCs w:val="30"/>
          <w:lang w:val="en-US" w:eastAsia="zh-CN"/>
        </w:rPr>
        <w:t>四</w:t>
      </w:r>
      <w:r>
        <w:rPr>
          <w:rFonts w:hint="eastAsia" w:ascii="黑体" w:hAnsi="黑体" w:eastAsia="黑体" w:cs="宋体"/>
          <w:color w:val="auto"/>
          <w:kern w:val="0"/>
          <w:sz w:val="30"/>
          <w:szCs w:val="30"/>
        </w:rPr>
        <w:t xml:space="preserve">）鹬科 </w:t>
      </w:r>
      <w:r>
        <w:rPr>
          <w:b/>
          <w:color w:val="auto"/>
          <w:kern w:val="0"/>
          <w:sz w:val="30"/>
          <w:szCs w:val="30"/>
        </w:rPr>
        <w:t>Scolopacidae</w:t>
      </w:r>
    </w:p>
    <w:p>
      <w:pPr>
        <w:widowControl/>
        <w:ind w:firstLine="750" w:firstLineChars="250"/>
        <w:rPr>
          <w:rFonts w:eastAsia="黑体"/>
          <w:i/>
          <w:color w:val="auto"/>
          <w:kern w:val="0"/>
          <w:sz w:val="30"/>
          <w:szCs w:val="30"/>
        </w:rPr>
      </w:pPr>
      <w:r>
        <w:rPr>
          <w:rFonts w:hint="eastAsia" w:ascii="黑体" w:hAnsi="黑体" w:eastAsia="黑体" w:cs="宋体"/>
          <w:color w:val="auto"/>
          <w:kern w:val="0"/>
          <w:sz w:val="30"/>
          <w:szCs w:val="30"/>
          <w:lang w:val="en-US" w:eastAsia="zh-CN"/>
        </w:rPr>
        <w:t>4</w:t>
      </w:r>
      <w:r>
        <w:rPr>
          <w:rFonts w:hint="eastAsia" w:ascii="黑体" w:hAnsi="黑体" w:eastAsia="黑体" w:cs="宋体"/>
          <w:color w:val="auto"/>
          <w:kern w:val="0"/>
          <w:sz w:val="30"/>
          <w:szCs w:val="30"/>
        </w:rPr>
        <w:t>、</w:t>
      </w:r>
      <w:r>
        <w:rPr>
          <w:rFonts w:ascii="黑体" w:hAnsi="黑体" w:eastAsia="黑体" w:cs="宋体"/>
          <w:color w:val="auto"/>
          <w:kern w:val="0"/>
          <w:sz w:val="30"/>
          <w:szCs w:val="30"/>
        </w:rPr>
        <w:t>鹬属</w:t>
      </w:r>
      <w:r>
        <w:rPr>
          <w:rFonts w:hint="eastAsia" w:ascii="黑体" w:hAnsi="黑体" w:eastAsia="黑体" w:cs="宋体"/>
          <w:color w:val="auto"/>
          <w:kern w:val="0"/>
          <w:sz w:val="30"/>
          <w:szCs w:val="30"/>
        </w:rPr>
        <w:t xml:space="preserve"> </w:t>
      </w:r>
      <w:r>
        <w:rPr>
          <w:i/>
          <w:color w:val="auto"/>
          <w:kern w:val="0"/>
          <w:sz w:val="30"/>
          <w:szCs w:val="30"/>
        </w:rPr>
        <w:t>Tringa</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（4）</w:t>
      </w:r>
      <w:r>
        <w:rPr>
          <w:rFonts w:hint="eastAsia" w:ascii="宋体" w:hAnsi="宋体" w:eastAsia="宋体" w:cs="宋体"/>
          <w:color w:val="auto"/>
          <w:kern w:val="0"/>
          <w:sz w:val="28"/>
          <w:szCs w:val="28"/>
        </w:rPr>
        <w:t>鹤鹬</w:t>
      </w:r>
      <w:r>
        <w:rPr>
          <w:i/>
          <w:color w:val="auto"/>
          <w:kern w:val="0"/>
          <w:sz w:val="28"/>
          <w:szCs w:val="28"/>
        </w:rPr>
        <w:t>Tringa erythropus</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5</w:t>
      </w:r>
      <w:r>
        <w:rPr>
          <w:rFonts w:hint="eastAsia" w:ascii="宋体" w:hAnsi="宋体" w:cs="宋体"/>
          <w:color w:val="auto"/>
          <w:kern w:val="0"/>
          <w:sz w:val="28"/>
          <w:szCs w:val="28"/>
        </w:rPr>
        <w:t>）</w:t>
      </w:r>
      <w:r>
        <w:rPr>
          <w:rFonts w:hint="eastAsia" w:ascii="宋体" w:hAnsi="宋体" w:eastAsia="宋体" w:cs="宋体"/>
          <w:color w:val="auto"/>
          <w:kern w:val="0"/>
          <w:sz w:val="28"/>
          <w:szCs w:val="28"/>
        </w:rPr>
        <w:t>林鹬</w:t>
      </w:r>
      <w:r>
        <w:rPr>
          <w:rFonts w:hint="eastAsia" w:ascii="宋体" w:hAnsi="宋体" w:cs="宋体"/>
          <w:color w:val="auto"/>
          <w:kern w:val="0"/>
          <w:sz w:val="28"/>
          <w:szCs w:val="28"/>
        </w:rPr>
        <w:t xml:space="preserve"> </w:t>
      </w:r>
      <w:r>
        <w:rPr>
          <w:i/>
          <w:color w:val="auto"/>
          <w:kern w:val="0"/>
          <w:sz w:val="28"/>
          <w:szCs w:val="28"/>
        </w:rPr>
        <w:t>Tringa glareola</w:t>
      </w:r>
    </w:p>
    <w:p>
      <w:pPr>
        <w:ind w:firstLine="700" w:firstLineChars="250"/>
        <w:rPr>
          <w:i/>
          <w:iCs/>
          <w:color w:val="auto"/>
          <w:szCs w:val="21"/>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6</w:t>
      </w:r>
      <w:r>
        <w:rPr>
          <w:rFonts w:hint="eastAsia" w:ascii="宋体" w:hAnsi="宋体" w:cs="宋体"/>
          <w:color w:val="auto"/>
          <w:kern w:val="0"/>
          <w:sz w:val="28"/>
          <w:szCs w:val="28"/>
        </w:rPr>
        <w:t>）</w:t>
      </w:r>
      <w:r>
        <w:rPr>
          <w:rFonts w:hint="eastAsia" w:ascii="宋体" w:hAnsi="宋体" w:eastAsia="宋体" w:cs="宋体"/>
          <w:color w:val="auto"/>
          <w:kern w:val="0"/>
          <w:sz w:val="28"/>
          <w:szCs w:val="28"/>
        </w:rPr>
        <w:t>矶鹬</w:t>
      </w:r>
      <w:r>
        <w:rPr>
          <w:rFonts w:hint="eastAsia" w:ascii="宋体" w:hAnsi="宋体" w:cs="宋体"/>
          <w:color w:val="auto"/>
          <w:kern w:val="0"/>
          <w:sz w:val="28"/>
          <w:szCs w:val="28"/>
        </w:rPr>
        <w:t xml:space="preserve"> </w:t>
      </w:r>
      <w:r>
        <w:rPr>
          <w:i/>
          <w:color w:val="auto"/>
          <w:kern w:val="0"/>
          <w:sz w:val="28"/>
          <w:szCs w:val="28"/>
        </w:rPr>
        <w:t>Tringa hypoleucos</w:t>
      </w:r>
    </w:p>
    <w:p>
      <w:pPr>
        <w:jc w:val="center"/>
        <w:rPr>
          <w:rFonts w:ascii="宋体" w:hAnsi="宋体" w:cs="宋体"/>
          <w:b/>
          <w:bCs/>
          <w:i/>
          <w:iCs/>
          <w:color w:val="auto"/>
          <w:szCs w:val="21"/>
        </w:rPr>
      </w:pPr>
      <w:r>
        <w:rPr>
          <w:rFonts w:hint="eastAsia" w:ascii="黑体" w:eastAsia="黑体" w:cs="宋体"/>
          <w:color w:val="auto"/>
          <w:kern w:val="0"/>
          <w:sz w:val="32"/>
          <w:szCs w:val="32"/>
          <w:lang w:val="en-US" w:eastAsia="zh-CN"/>
        </w:rPr>
        <w:t>五</w:t>
      </w:r>
      <w:r>
        <w:rPr>
          <w:rFonts w:hint="eastAsia" w:ascii="黑体" w:eastAsia="黑体" w:cs="宋体"/>
          <w:color w:val="auto"/>
          <w:kern w:val="0"/>
          <w:sz w:val="32"/>
          <w:szCs w:val="32"/>
        </w:rPr>
        <w:t>、鸽形目</w:t>
      </w:r>
      <w:r>
        <w:rPr>
          <w:rFonts w:hint="eastAsia"/>
          <w:b/>
          <w:bCs/>
          <w:color w:val="auto"/>
          <w:kern w:val="0"/>
          <w:sz w:val="32"/>
          <w:szCs w:val="32"/>
        </w:rPr>
        <w:t>COLUMBIFORMES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五</w:t>
      </w:r>
      <w:r>
        <w:rPr>
          <w:rFonts w:hint="eastAsia" w:ascii="黑体" w:eastAsia="黑体" w:cs="宋体"/>
          <w:color w:val="auto"/>
          <w:kern w:val="0"/>
          <w:sz w:val="30"/>
          <w:szCs w:val="30"/>
        </w:rPr>
        <w:t>）鸠鸽科</w:t>
      </w:r>
      <w:r>
        <w:rPr>
          <w:rFonts w:hint="eastAsia"/>
          <w:b/>
          <w:bCs/>
          <w:color w:val="auto"/>
          <w:kern w:val="0"/>
          <w:sz w:val="30"/>
          <w:szCs w:val="30"/>
        </w:rPr>
        <w:t>Columbidae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5</w:t>
      </w:r>
      <w:r>
        <w:rPr>
          <w:rFonts w:hint="eastAsia" w:ascii="黑体" w:eastAsia="黑体" w:cs="宋体"/>
          <w:color w:val="auto"/>
          <w:kern w:val="0"/>
          <w:sz w:val="30"/>
          <w:szCs w:val="30"/>
        </w:rPr>
        <w:t>、斑鸠属</w:t>
      </w:r>
      <w:r>
        <w:rPr>
          <w:rFonts w:hint="eastAsia" w:eastAsia="黑体"/>
          <w:i/>
          <w:iCs/>
          <w:color w:val="auto"/>
          <w:sz w:val="30"/>
          <w:szCs w:val="30"/>
        </w:rPr>
        <w:t>Streptopelia</w:t>
      </w:r>
    </w:p>
    <w:p>
      <w:pPr>
        <w:ind w:firstLine="700" w:firstLineChars="250"/>
        <w:rPr>
          <w:i/>
          <w:iCs/>
          <w:color w:val="auto"/>
          <w:szCs w:val="21"/>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7</w:t>
      </w:r>
      <w:r>
        <w:rPr>
          <w:rFonts w:hint="eastAsia" w:ascii="宋体" w:hAnsi="宋体" w:cs="宋体"/>
          <w:color w:val="auto"/>
          <w:kern w:val="0"/>
          <w:sz w:val="28"/>
          <w:szCs w:val="28"/>
        </w:rPr>
        <w:t>）</w:t>
      </w:r>
      <w:r>
        <w:rPr>
          <w:rFonts w:hint="eastAsia" w:ascii="宋体" w:hAnsi="宋体" w:eastAsia="宋体" w:cs="宋体"/>
          <w:color w:val="auto"/>
          <w:kern w:val="0"/>
          <w:sz w:val="28"/>
          <w:szCs w:val="28"/>
        </w:rPr>
        <w:t>山斑鸠</w:t>
      </w:r>
      <w:r>
        <w:rPr>
          <w:rFonts w:hint="eastAsia"/>
          <w:i/>
          <w:iCs/>
          <w:color w:val="auto"/>
          <w:kern w:val="0"/>
          <w:sz w:val="28"/>
          <w:szCs w:val="28"/>
        </w:rPr>
        <w:t>Streptopelia orientalis</w:t>
      </w:r>
    </w:p>
    <w:p>
      <w:pPr>
        <w:ind w:firstLine="700" w:firstLineChars="250"/>
        <w:rPr>
          <w:i/>
          <w:color w:val="auto"/>
          <w:kern w:val="0"/>
          <w:sz w:val="28"/>
          <w:szCs w:val="28"/>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8</w:t>
      </w:r>
      <w:r>
        <w:rPr>
          <w:rFonts w:hint="eastAsia" w:ascii="宋体" w:hAnsi="宋体" w:cs="宋体"/>
          <w:color w:val="auto"/>
          <w:kern w:val="0"/>
          <w:sz w:val="28"/>
          <w:szCs w:val="28"/>
        </w:rPr>
        <w:t>）</w:t>
      </w:r>
      <w:r>
        <w:rPr>
          <w:rFonts w:hint="eastAsia" w:ascii="宋体" w:hAnsi="宋体" w:eastAsia="宋体" w:cs="宋体"/>
          <w:color w:val="auto"/>
          <w:kern w:val="0"/>
          <w:sz w:val="28"/>
          <w:szCs w:val="28"/>
        </w:rPr>
        <w:t>珠颈斑鸠</w:t>
      </w:r>
      <w:r>
        <w:rPr>
          <w:rFonts w:hint="eastAsia" w:ascii="宋体" w:hAnsi="宋体" w:cs="宋体"/>
          <w:color w:val="auto"/>
          <w:kern w:val="0"/>
          <w:sz w:val="28"/>
          <w:szCs w:val="28"/>
        </w:rPr>
        <w:t xml:space="preserve"> </w:t>
      </w:r>
      <w:r>
        <w:rPr>
          <w:i/>
          <w:color w:val="auto"/>
          <w:kern w:val="0"/>
          <w:sz w:val="28"/>
          <w:szCs w:val="28"/>
        </w:rPr>
        <w:t>Streptopelia chinensis</w:t>
      </w:r>
    </w:p>
    <w:p>
      <w:pPr>
        <w:jc w:val="center"/>
        <w:rPr>
          <w:b/>
          <w:bCs/>
          <w:color w:val="auto"/>
          <w:kern w:val="0"/>
          <w:szCs w:val="21"/>
        </w:rPr>
      </w:pPr>
      <w:r>
        <w:rPr>
          <w:rFonts w:hint="eastAsia" w:ascii="黑体" w:eastAsia="黑体" w:cs="宋体"/>
          <w:color w:val="auto"/>
          <w:kern w:val="0"/>
          <w:sz w:val="32"/>
          <w:szCs w:val="32"/>
          <w:lang w:val="en-US" w:eastAsia="zh-CN"/>
        </w:rPr>
        <w:t>六</w:t>
      </w:r>
      <w:r>
        <w:rPr>
          <w:rFonts w:hint="eastAsia" w:ascii="黑体" w:eastAsia="黑体" w:cs="宋体"/>
          <w:color w:val="auto"/>
          <w:kern w:val="0"/>
          <w:sz w:val="32"/>
          <w:szCs w:val="32"/>
        </w:rPr>
        <w:t>、鹃形目</w:t>
      </w:r>
      <w:r>
        <w:rPr>
          <w:rFonts w:hint="eastAsia"/>
          <w:b/>
          <w:bCs/>
          <w:color w:val="auto"/>
          <w:kern w:val="0"/>
          <w:sz w:val="32"/>
          <w:szCs w:val="32"/>
        </w:rPr>
        <w:t>CUCULIFORMES</w:t>
      </w:r>
    </w:p>
    <w:p>
      <w:pPr>
        <w:rPr>
          <w:rFonts w:eastAsia="黑体"/>
          <w:b/>
          <w:color w:val="auto"/>
          <w:kern w:val="0"/>
          <w:sz w:val="30"/>
          <w:szCs w:val="30"/>
        </w:rPr>
      </w:pPr>
      <w:r>
        <w:rPr>
          <w:rFonts w:hint="eastAsia" w:ascii="黑体" w:hAnsi="黑体" w:eastAsia="黑体" w:cs="宋体"/>
          <w:color w:val="auto"/>
          <w:kern w:val="0"/>
          <w:sz w:val="30"/>
          <w:szCs w:val="30"/>
        </w:rPr>
        <w:t>（</w:t>
      </w:r>
      <w:r>
        <w:rPr>
          <w:rFonts w:hint="eastAsia" w:ascii="黑体" w:hAnsi="黑体" w:eastAsia="黑体" w:cs="宋体"/>
          <w:color w:val="auto"/>
          <w:kern w:val="0"/>
          <w:sz w:val="30"/>
          <w:szCs w:val="30"/>
          <w:lang w:val="en-US" w:eastAsia="zh-CN"/>
        </w:rPr>
        <w:t>六</w:t>
      </w:r>
      <w:r>
        <w:rPr>
          <w:rFonts w:hint="eastAsia" w:ascii="黑体" w:hAnsi="黑体" w:eastAsia="黑体" w:cs="宋体"/>
          <w:color w:val="auto"/>
          <w:kern w:val="0"/>
          <w:sz w:val="30"/>
          <w:szCs w:val="30"/>
        </w:rPr>
        <w:t xml:space="preserve">）杜鹃科 </w:t>
      </w:r>
      <w:r>
        <w:rPr>
          <w:rFonts w:eastAsia="黑体"/>
          <w:b/>
          <w:color w:val="auto"/>
          <w:kern w:val="0"/>
          <w:sz w:val="30"/>
          <w:szCs w:val="30"/>
        </w:rPr>
        <w:t>Cuculidae</w:t>
      </w:r>
    </w:p>
    <w:p>
      <w:pPr>
        <w:ind w:firstLine="750" w:firstLineChars="250"/>
        <w:rPr>
          <w:rFonts w:ascii="黑体" w:hAnsi="黑体" w:eastAsia="黑体" w:cs="黑体"/>
          <w:b/>
          <w:iCs/>
          <w:color w:val="auto"/>
          <w:szCs w:val="21"/>
        </w:rPr>
      </w:pPr>
      <w:r>
        <w:rPr>
          <w:rFonts w:hint="eastAsia" w:ascii="黑体" w:eastAsia="黑体" w:cs="宋体"/>
          <w:color w:val="auto"/>
          <w:kern w:val="0"/>
          <w:sz w:val="30"/>
          <w:szCs w:val="30"/>
        </w:rPr>
        <w:t>6、</w:t>
      </w:r>
      <w:r>
        <w:rPr>
          <w:color w:val="auto"/>
        </w:rPr>
        <w:fldChar w:fldCharType="begin"/>
      </w:r>
      <w:r>
        <w:rPr>
          <w:color w:val="auto"/>
        </w:rPr>
        <w:instrText xml:space="preserve"> HYPERLINK "http://baike.baidu.com/view/818465.htm" \t "http://baike.baidu.com/view/_blank" </w:instrText>
      </w:r>
      <w:r>
        <w:rPr>
          <w:color w:val="auto"/>
        </w:rPr>
        <w:fldChar w:fldCharType="separate"/>
      </w:r>
      <w:r>
        <w:rPr>
          <w:rFonts w:hint="eastAsia" w:ascii="黑体" w:eastAsia="黑体" w:cs="宋体"/>
          <w:color w:val="auto"/>
          <w:kern w:val="0"/>
          <w:sz w:val="30"/>
          <w:szCs w:val="30"/>
        </w:rPr>
        <w:t>杜鹃属</w:t>
      </w:r>
      <w:r>
        <w:rPr>
          <w:rFonts w:ascii="黑体" w:eastAsia="黑体" w:cs="宋体"/>
          <w:color w:val="auto"/>
          <w:kern w:val="0"/>
          <w:sz w:val="30"/>
          <w:szCs w:val="30"/>
        </w:rPr>
        <w:fldChar w:fldCharType="end"/>
      </w:r>
      <w:r>
        <w:rPr>
          <w:rFonts w:hint="eastAsia" w:eastAsia="黑体"/>
          <w:b/>
          <w:iCs/>
          <w:color w:val="auto"/>
          <w:sz w:val="30"/>
          <w:szCs w:val="30"/>
        </w:rPr>
        <w:t>Cuculus</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9</w:t>
      </w:r>
      <w:r>
        <w:rPr>
          <w:rFonts w:hint="eastAsia" w:ascii="宋体" w:hAnsi="宋体" w:cs="宋体"/>
          <w:color w:val="auto"/>
          <w:kern w:val="0"/>
          <w:sz w:val="28"/>
          <w:szCs w:val="28"/>
        </w:rPr>
        <w:t>）</w:t>
      </w:r>
      <w:r>
        <w:rPr>
          <w:rFonts w:hint="eastAsia" w:ascii="宋体" w:hAnsi="宋体" w:eastAsia="宋体" w:cs="宋体"/>
          <w:color w:val="auto"/>
          <w:kern w:val="0"/>
          <w:sz w:val="28"/>
          <w:szCs w:val="28"/>
        </w:rPr>
        <w:t>四声杜鹃</w:t>
      </w:r>
      <w:r>
        <w:rPr>
          <w:rFonts w:hint="eastAsia" w:ascii="宋体" w:hAnsi="宋体" w:cs="宋体"/>
          <w:color w:val="auto"/>
          <w:kern w:val="0"/>
          <w:sz w:val="28"/>
          <w:szCs w:val="28"/>
        </w:rPr>
        <w:t xml:space="preserve"> </w:t>
      </w:r>
      <w:r>
        <w:rPr>
          <w:i/>
          <w:color w:val="auto"/>
          <w:kern w:val="0"/>
          <w:sz w:val="28"/>
          <w:szCs w:val="28"/>
        </w:rPr>
        <w:t>Cuculus</w:t>
      </w:r>
      <w:r>
        <w:rPr>
          <w:rFonts w:hint="eastAsia"/>
          <w:i/>
          <w:color w:val="auto"/>
          <w:kern w:val="0"/>
          <w:sz w:val="28"/>
          <w:szCs w:val="28"/>
        </w:rPr>
        <w:t xml:space="preserve"> micropterus</w:t>
      </w:r>
    </w:p>
    <w:p>
      <w:pPr>
        <w:ind w:firstLine="700" w:firstLineChars="250"/>
        <w:rPr>
          <w:i/>
          <w:color w:val="auto"/>
          <w:kern w:val="0"/>
          <w:sz w:val="28"/>
          <w:szCs w:val="28"/>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10</w:t>
      </w:r>
      <w:r>
        <w:rPr>
          <w:rFonts w:hint="eastAsia" w:ascii="宋体" w:hAnsi="宋体" w:cs="宋体"/>
          <w:color w:val="auto"/>
          <w:kern w:val="0"/>
          <w:sz w:val="28"/>
          <w:szCs w:val="28"/>
        </w:rPr>
        <w:t>）</w:t>
      </w:r>
      <w:r>
        <w:rPr>
          <w:rFonts w:hint="eastAsia" w:ascii="宋体" w:hAnsi="宋体" w:eastAsia="宋体" w:cs="宋体"/>
          <w:color w:val="auto"/>
          <w:kern w:val="0"/>
          <w:sz w:val="28"/>
          <w:szCs w:val="28"/>
        </w:rPr>
        <w:t>大杜鹃</w:t>
      </w:r>
      <w:r>
        <w:rPr>
          <w:rFonts w:hint="eastAsia" w:ascii="宋体" w:hAnsi="宋体" w:cs="宋体"/>
          <w:color w:val="auto"/>
          <w:kern w:val="0"/>
          <w:sz w:val="28"/>
          <w:szCs w:val="28"/>
        </w:rPr>
        <w:t xml:space="preserve"> </w:t>
      </w:r>
      <w:r>
        <w:rPr>
          <w:i/>
          <w:color w:val="auto"/>
          <w:kern w:val="0"/>
          <w:sz w:val="28"/>
          <w:szCs w:val="28"/>
        </w:rPr>
        <w:t>Cuculus canorus</w:t>
      </w:r>
    </w:p>
    <w:p>
      <w:pPr>
        <w:jc w:val="center"/>
        <w:rPr>
          <w:rFonts w:ascii="宋体" w:hAnsi="宋体" w:cs="宋体"/>
          <w:b/>
          <w:bCs/>
          <w:i/>
          <w:iCs/>
          <w:color w:val="auto"/>
          <w:szCs w:val="21"/>
        </w:rPr>
      </w:pPr>
      <w:r>
        <w:rPr>
          <w:rFonts w:hint="eastAsia" w:ascii="黑体" w:eastAsia="黑体" w:cs="宋体"/>
          <w:color w:val="auto"/>
          <w:kern w:val="0"/>
          <w:sz w:val="32"/>
          <w:szCs w:val="32"/>
          <w:lang w:val="en-US" w:eastAsia="zh-CN"/>
        </w:rPr>
        <w:t>七</w:t>
      </w:r>
      <w:r>
        <w:rPr>
          <w:rFonts w:hint="eastAsia" w:ascii="黑体" w:eastAsia="黑体" w:cs="宋体"/>
          <w:color w:val="auto"/>
          <w:kern w:val="0"/>
          <w:sz w:val="32"/>
          <w:szCs w:val="32"/>
        </w:rPr>
        <w:t>、戴胜目</w:t>
      </w:r>
      <w:r>
        <w:rPr>
          <w:rFonts w:hint="eastAsia"/>
          <w:b/>
          <w:bCs/>
          <w:color w:val="auto"/>
          <w:kern w:val="0"/>
          <w:sz w:val="32"/>
          <w:szCs w:val="32"/>
        </w:rPr>
        <w:t>UPUPIFORMES</w:t>
      </w:r>
    </w:p>
    <w:p>
      <w:pPr>
        <w:rPr>
          <w:rFonts w:eastAsia="黑体"/>
          <w:color w:val="auto"/>
          <w:szCs w:val="21"/>
        </w:rPr>
      </w:pPr>
      <w:r>
        <w:rPr>
          <w:rFonts w:hint="eastAsia" w:ascii="黑体" w:eastAsia="黑体" w:cs="宋体"/>
          <w:color w:val="auto"/>
          <w:kern w:val="0"/>
          <w:sz w:val="30"/>
          <w:szCs w:val="30"/>
        </w:rPr>
        <w:t>（七）戴胜科</w:t>
      </w:r>
      <w:r>
        <w:rPr>
          <w:rFonts w:hint="eastAsia"/>
          <w:b/>
          <w:bCs/>
          <w:color w:val="auto"/>
          <w:kern w:val="0"/>
          <w:sz w:val="30"/>
          <w:szCs w:val="30"/>
        </w:rPr>
        <w:t>Upupidae</w:t>
      </w:r>
    </w:p>
    <w:p>
      <w:pPr>
        <w:ind w:firstLine="750" w:firstLineChars="250"/>
        <w:rPr>
          <w:color w:val="auto"/>
          <w:szCs w:val="21"/>
        </w:rPr>
      </w:pPr>
      <w:r>
        <w:rPr>
          <w:rFonts w:hint="eastAsia" w:ascii="黑体" w:eastAsia="黑体" w:cs="宋体"/>
          <w:color w:val="auto"/>
          <w:kern w:val="0"/>
          <w:sz w:val="30"/>
          <w:szCs w:val="30"/>
        </w:rPr>
        <w:t>7、戴胜属</w:t>
      </w:r>
      <w:r>
        <w:rPr>
          <w:rFonts w:hint="eastAsia" w:eastAsia="黑体"/>
          <w:i/>
          <w:iCs/>
          <w:color w:val="auto"/>
          <w:sz w:val="30"/>
          <w:szCs w:val="30"/>
        </w:rPr>
        <w:t>Upupa</w:t>
      </w:r>
    </w:p>
    <w:p>
      <w:pPr>
        <w:ind w:firstLine="700" w:firstLineChars="250"/>
        <w:rPr>
          <w:i/>
          <w:iCs/>
          <w:color w:val="auto"/>
          <w:szCs w:val="21"/>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1</w:t>
      </w:r>
      <w:r>
        <w:rPr>
          <w:rFonts w:hint="eastAsia" w:ascii="宋体" w:hAnsi="宋体" w:cs="宋体"/>
          <w:color w:val="auto"/>
          <w:kern w:val="0"/>
          <w:sz w:val="28"/>
          <w:szCs w:val="28"/>
        </w:rPr>
        <w:t>）</w:t>
      </w:r>
      <w:r>
        <w:rPr>
          <w:rFonts w:hint="eastAsia" w:ascii="宋体" w:hAnsi="宋体" w:eastAsia="宋体" w:cs="宋体"/>
          <w:color w:val="auto"/>
          <w:kern w:val="0"/>
          <w:sz w:val="28"/>
          <w:szCs w:val="28"/>
        </w:rPr>
        <w:t>戴胜</w:t>
      </w:r>
      <w:r>
        <w:rPr>
          <w:rFonts w:hint="eastAsia"/>
          <w:i/>
          <w:iCs/>
          <w:color w:val="auto"/>
          <w:kern w:val="0"/>
          <w:sz w:val="28"/>
          <w:szCs w:val="28"/>
        </w:rPr>
        <w:t>Upupa epops</w:t>
      </w:r>
    </w:p>
    <w:p>
      <w:pPr>
        <w:jc w:val="center"/>
        <w:rPr>
          <w:rFonts w:ascii="黑体" w:hAnsi="黑体" w:eastAsia="黑体" w:cs="黑体"/>
          <w:i/>
          <w:color w:val="auto"/>
          <w:sz w:val="24"/>
          <w:szCs w:val="24"/>
        </w:rPr>
      </w:pPr>
      <w:r>
        <w:rPr>
          <w:rFonts w:hint="eastAsia" w:ascii="黑体" w:eastAsia="黑体" w:cs="宋体"/>
          <w:color w:val="auto"/>
          <w:kern w:val="0"/>
          <w:sz w:val="32"/>
          <w:szCs w:val="32"/>
          <w:lang w:val="en-US" w:eastAsia="zh-CN"/>
        </w:rPr>
        <w:t>八</w:t>
      </w:r>
      <w:r>
        <w:rPr>
          <w:rFonts w:hint="eastAsia" w:ascii="黑体" w:eastAsia="黑体" w:cs="宋体"/>
          <w:color w:val="auto"/>
          <w:kern w:val="0"/>
          <w:sz w:val="32"/>
          <w:szCs w:val="32"/>
        </w:rPr>
        <w:t>、鴷形目</w:t>
      </w:r>
      <w:r>
        <w:rPr>
          <w:rFonts w:hint="eastAsia"/>
          <w:b/>
          <w:bCs/>
          <w:color w:val="auto"/>
          <w:kern w:val="0"/>
          <w:sz w:val="32"/>
          <w:szCs w:val="32"/>
        </w:rPr>
        <w:t>PICIFORMES</w:t>
      </w:r>
    </w:p>
    <w:p>
      <w:pPr>
        <w:rPr>
          <w:rFonts w:eastAsia="黑体"/>
          <w:color w:val="auto"/>
          <w:szCs w:val="21"/>
        </w:rPr>
      </w:pPr>
      <w:r>
        <w:rPr>
          <w:rFonts w:hint="eastAsia" w:ascii="黑体" w:eastAsia="黑体" w:cs="宋体"/>
          <w:color w:val="auto"/>
          <w:kern w:val="0"/>
          <w:sz w:val="30"/>
          <w:szCs w:val="30"/>
        </w:rPr>
        <w:t>（八）啄木鸟科</w:t>
      </w:r>
      <w:r>
        <w:rPr>
          <w:rFonts w:hint="eastAsia"/>
          <w:b/>
          <w:bCs/>
          <w:color w:val="auto"/>
          <w:kern w:val="0"/>
          <w:sz w:val="30"/>
          <w:szCs w:val="30"/>
        </w:rPr>
        <w:t>Picidae</w:t>
      </w:r>
    </w:p>
    <w:p>
      <w:pPr>
        <w:ind w:firstLine="750" w:firstLineChars="250"/>
        <w:rPr>
          <w:rFonts w:eastAsia="黑体"/>
          <w:i/>
          <w:iCs/>
          <w:color w:val="auto"/>
          <w:sz w:val="30"/>
          <w:szCs w:val="30"/>
        </w:rPr>
      </w:pPr>
      <w:r>
        <w:rPr>
          <w:rFonts w:hint="eastAsia" w:ascii="黑体" w:eastAsia="黑体" w:cs="宋体"/>
          <w:color w:val="auto"/>
          <w:kern w:val="0"/>
          <w:sz w:val="30"/>
          <w:szCs w:val="30"/>
          <w:lang w:val="en-US" w:eastAsia="zh-CN"/>
        </w:rPr>
        <w:t>8</w:t>
      </w:r>
      <w:r>
        <w:rPr>
          <w:rFonts w:hint="eastAsia" w:ascii="黑体" w:eastAsia="黑体" w:cs="宋体"/>
          <w:color w:val="auto"/>
          <w:kern w:val="0"/>
          <w:sz w:val="30"/>
          <w:szCs w:val="30"/>
        </w:rPr>
        <w:t xml:space="preserve">、啄木鸟属 </w:t>
      </w:r>
      <w:r>
        <w:rPr>
          <w:rFonts w:hint="eastAsia" w:eastAsia="黑体"/>
          <w:i/>
          <w:iCs/>
          <w:color w:val="auto"/>
          <w:sz w:val="30"/>
          <w:szCs w:val="30"/>
        </w:rPr>
        <w:t>Dendrocopos</w:t>
      </w:r>
    </w:p>
    <w:p>
      <w:pPr>
        <w:ind w:firstLine="700" w:firstLineChars="250"/>
        <w:rPr>
          <w:rFonts w:hint="eastAsia"/>
          <w:i/>
          <w:iCs/>
          <w:color w:val="auto"/>
          <w:kern w:val="0"/>
          <w:sz w:val="28"/>
          <w:szCs w:val="28"/>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2</w:t>
      </w:r>
      <w:r>
        <w:rPr>
          <w:rFonts w:hint="eastAsia" w:ascii="宋体" w:hAnsi="宋体" w:cs="宋体"/>
          <w:color w:val="auto"/>
          <w:kern w:val="0"/>
          <w:sz w:val="28"/>
          <w:szCs w:val="28"/>
        </w:rPr>
        <w:t>）</w:t>
      </w:r>
      <w:r>
        <w:rPr>
          <w:rFonts w:hint="eastAsia" w:ascii="宋体" w:hAnsi="宋体" w:eastAsia="宋体" w:cs="宋体"/>
          <w:color w:val="auto"/>
          <w:kern w:val="0"/>
          <w:sz w:val="28"/>
          <w:szCs w:val="28"/>
        </w:rPr>
        <w:t>大斑啄木鸟</w:t>
      </w:r>
      <w:r>
        <w:rPr>
          <w:rFonts w:hint="eastAsia"/>
          <w:i/>
          <w:iCs/>
          <w:color w:val="auto"/>
          <w:kern w:val="0"/>
          <w:sz w:val="28"/>
          <w:szCs w:val="28"/>
        </w:rPr>
        <w:t xml:space="preserve"> Dendrocopos major</w:t>
      </w:r>
    </w:p>
    <w:p>
      <w:pPr>
        <w:ind w:firstLine="480" w:firstLineChars="150"/>
        <w:jc w:val="center"/>
        <w:rPr>
          <w:rFonts w:ascii="黑体" w:hAnsi="黑体" w:eastAsia="黑体" w:cs="黑体"/>
          <w:i/>
          <w:iCs/>
          <w:color w:val="auto"/>
          <w:sz w:val="24"/>
          <w:szCs w:val="24"/>
        </w:rPr>
      </w:pPr>
      <w:r>
        <w:rPr>
          <w:rFonts w:hint="eastAsia" w:ascii="黑体" w:eastAsia="黑体" w:cs="宋体"/>
          <w:color w:val="auto"/>
          <w:kern w:val="0"/>
          <w:sz w:val="32"/>
          <w:szCs w:val="32"/>
          <w:lang w:val="en-US" w:eastAsia="zh-CN"/>
        </w:rPr>
        <w:t>九</w:t>
      </w:r>
      <w:r>
        <w:rPr>
          <w:rFonts w:hint="eastAsia" w:ascii="黑体" w:eastAsia="黑体" w:cs="宋体"/>
          <w:color w:val="auto"/>
          <w:kern w:val="0"/>
          <w:sz w:val="32"/>
          <w:szCs w:val="32"/>
        </w:rPr>
        <w:t>、雀形目</w:t>
      </w:r>
      <w:r>
        <w:rPr>
          <w:rFonts w:hint="eastAsia"/>
          <w:b/>
          <w:bCs/>
          <w:color w:val="auto"/>
          <w:kern w:val="0"/>
          <w:sz w:val="32"/>
          <w:szCs w:val="32"/>
        </w:rPr>
        <w:t>PASSERIFORMES</w:t>
      </w:r>
    </w:p>
    <w:p>
      <w:pPr>
        <w:rPr>
          <w:rFonts w:eastAsia="黑体"/>
          <w:color w:val="auto"/>
          <w:szCs w:val="21"/>
        </w:rPr>
      </w:pPr>
      <w:r>
        <w:rPr>
          <w:rFonts w:hint="eastAsia" w:ascii="黑体" w:hAnsi="黑体" w:eastAsia="黑体" w:cs="宋体"/>
          <w:color w:val="auto"/>
          <w:kern w:val="0"/>
          <w:sz w:val="30"/>
          <w:szCs w:val="30"/>
        </w:rPr>
        <w:t>（</w:t>
      </w:r>
      <w:r>
        <w:rPr>
          <w:rFonts w:hint="eastAsia" w:ascii="黑体" w:hAnsi="黑体" w:eastAsia="黑体" w:cs="宋体"/>
          <w:color w:val="auto"/>
          <w:kern w:val="0"/>
          <w:sz w:val="30"/>
          <w:szCs w:val="30"/>
          <w:lang w:val="en-US" w:eastAsia="zh-CN"/>
        </w:rPr>
        <w:t>九</w:t>
      </w:r>
      <w:r>
        <w:rPr>
          <w:rFonts w:hint="eastAsia" w:ascii="黑体" w:hAnsi="黑体" w:eastAsia="黑体" w:cs="宋体"/>
          <w:color w:val="auto"/>
          <w:kern w:val="0"/>
          <w:sz w:val="30"/>
          <w:szCs w:val="30"/>
        </w:rPr>
        <w:t>）</w:t>
      </w:r>
      <w:r>
        <w:rPr>
          <w:rFonts w:hint="eastAsia" w:ascii="黑体" w:eastAsia="黑体" w:cs="宋体"/>
          <w:color w:val="auto"/>
          <w:kern w:val="0"/>
          <w:sz w:val="30"/>
          <w:szCs w:val="30"/>
        </w:rPr>
        <w:t xml:space="preserve">百灵科 </w:t>
      </w:r>
      <w:r>
        <w:rPr>
          <w:rFonts w:hint="eastAsia"/>
          <w:b/>
          <w:bCs/>
          <w:color w:val="auto"/>
          <w:kern w:val="0"/>
          <w:sz w:val="30"/>
          <w:szCs w:val="30"/>
        </w:rPr>
        <w:t>Alaudidae</w:t>
      </w:r>
    </w:p>
    <w:p>
      <w:pPr>
        <w:ind w:firstLine="750" w:firstLineChars="250"/>
        <w:rPr>
          <w:rFonts w:ascii="黑体" w:hAnsi="黑体" w:eastAsia="黑体" w:cs="宋体"/>
          <w:color w:val="auto"/>
          <w:kern w:val="0"/>
          <w:sz w:val="30"/>
          <w:szCs w:val="30"/>
        </w:rPr>
      </w:pPr>
      <w:r>
        <w:rPr>
          <w:rFonts w:hint="eastAsia" w:ascii="黑体" w:hAnsi="黑体" w:eastAsia="黑体" w:cs="宋体"/>
          <w:color w:val="auto"/>
          <w:kern w:val="0"/>
          <w:sz w:val="30"/>
          <w:szCs w:val="30"/>
          <w:lang w:val="en-US" w:eastAsia="zh-CN"/>
        </w:rPr>
        <w:t>9</w:t>
      </w:r>
      <w:r>
        <w:rPr>
          <w:rFonts w:hint="eastAsia" w:ascii="黑体" w:hAnsi="黑体" w:eastAsia="黑体" w:cs="宋体"/>
          <w:color w:val="auto"/>
          <w:kern w:val="0"/>
          <w:sz w:val="30"/>
          <w:szCs w:val="30"/>
        </w:rPr>
        <w:t xml:space="preserve">、云雀属 </w:t>
      </w:r>
      <w:r>
        <w:rPr>
          <w:rFonts w:eastAsia="黑体"/>
          <w:i/>
          <w:color w:val="auto"/>
          <w:kern w:val="0"/>
          <w:sz w:val="32"/>
          <w:szCs w:val="32"/>
        </w:rPr>
        <w:t>Alauda</w:t>
      </w:r>
    </w:p>
    <w:p>
      <w:pPr>
        <w:ind w:firstLine="700" w:firstLineChars="250"/>
        <w:rPr>
          <w:i/>
          <w:color w:val="auto"/>
          <w:kern w:val="0"/>
          <w:sz w:val="28"/>
          <w:szCs w:val="28"/>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3</w:t>
      </w:r>
      <w:r>
        <w:rPr>
          <w:rFonts w:hint="eastAsia" w:ascii="宋体" w:hAnsi="宋体" w:cs="宋体"/>
          <w:color w:val="auto"/>
          <w:kern w:val="0"/>
          <w:sz w:val="28"/>
          <w:szCs w:val="28"/>
        </w:rPr>
        <w:t>）</w:t>
      </w:r>
      <w:r>
        <w:rPr>
          <w:rFonts w:hint="eastAsia" w:ascii="宋体" w:hAnsi="宋体" w:eastAsia="宋体" w:cs="宋体"/>
          <w:color w:val="auto"/>
          <w:kern w:val="0"/>
          <w:sz w:val="28"/>
          <w:szCs w:val="28"/>
        </w:rPr>
        <w:t>小云雀</w:t>
      </w:r>
      <w:r>
        <w:rPr>
          <w:rFonts w:hint="eastAsia" w:ascii="黑体" w:eastAsia="黑体" w:cs="宋体"/>
          <w:color w:val="auto"/>
          <w:kern w:val="0"/>
          <w:sz w:val="32"/>
          <w:szCs w:val="32"/>
        </w:rPr>
        <w:t xml:space="preserve"> </w:t>
      </w:r>
      <w:r>
        <w:rPr>
          <w:rFonts w:eastAsia="黑体"/>
          <w:i/>
          <w:color w:val="auto"/>
          <w:kern w:val="0"/>
          <w:sz w:val="28"/>
          <w:szCs w:val="28"/>
        </w:rPr>
        <w:t>Alauda</w:t>
      </w:r>
      <w:r>
        <w:rPr>
          <w:i/>
          <w:color w:val="auto"/>
          <w:kern w:val="0"/>
          <w:sz w:val="28"/>
          <w:szCs w:val="28"/>
        </w:rPr>
        <w:t xml:space="preserve"> gulgula</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w:t>
      </w:r>
      <w:r>
        <w:rPr>
          <w:rFonts w:hint="eastAsia" w:ascii="黑体" w:eastAsia="黑体" w:cs="宋体"/>
          <w:color w:val="auto"/>
          <w:kern w:val="0"/>
          <w:sz w:val="30"/>
          <w:szCs w:val="30"/>
        </w:rPr>
        <w:t>）燕科</w:t>
      </w:r>
      <w:r>
        <w:rPr>
          <w:rFonts w:hint="eastAsia"/>
          <w:b/>
          <w:bCs/>
          <w:color w:val="auto"/>
          <w:kern w:val="0"/>
          <w:sz w:val="30"/>
          <w:szCs w:val="30"/>
        </w:rPr>
        <w:t>Hirundinidae</w:t>
      </w:r>
    </w:p>
    <w:p>
      <w:pPr>
        <w:ind w:firstLine="750" w:firstLineChars="250"/>
        <w:rPr>
          <w:rFonts w:eastAsia="黑体"/>
          <w:i/>
          <w:color w:val="auto"/>
          <w:kern w:val="0"/>
          <w:sz w:val="30"/>
          <w:szCs w:val="30"/>
        </w:rPr>
      </w:pPr>
      <w:r>
        <w:rPr>
          <w:rFonts w:hint="eastAsia" w:ascii="黑体" w:hAnsi="黑体" w:eastAsia="黑体" w:cs="宋体"/>
          <w:color w:val="auto"/>
          <w:kern w:val="0"/>
          <w:sz w:val="30"/>
          <w:szCs w:val="30"/>
          <w:lang w:val="en-US" w:eastAsia="zh-CN"/>
        </w:rPr>
        <w:t>10</w:t>
      </w:r>
      <w:r>
        <w:rPr>
          <w:rFonts w:hint="eastAsia" w:ascii="黑体" w:hAnsi="黑体" w:eastAsia="黑体" w:cs="宋体"/>
          <w:color w:val="auto"/>
          <w:kern w:val="0"/>
          <w:sz w:val="30"/>
          <w:szCs w:val="30"/>
        </w:rPr>
        <w:t>、</w:t>
      </w:r>
      <w:r>
        <w:rPr>
          <w:rFonts w:hint="eastAsia" w:ascii="黑体" w:eastAsia="黑体" w:cs="宋体"/>
          <w:color w:val="auto"/>
          <w:kern w:val="0"/>
          <w:sz w:val="30"/>
          <w:szCs w:val="30"/>
        </w:rPr>
        <w:t xml:space="preserve">燕属 </w:t>
      </w:r>
      <w:r>
        <w:rPr>
          <w:rFonts w:eastAsia="黑体"/>
          <w:i/>
          <w:color w:val="auto"/>
          <w:kern w:val="0"/>
          <w:sz w:val="30"/>
          <w:szCs w:val="30"/>
        </w:rPr>
        <w:t>Hirundo</w:t>
      </w:r>
    </w:p>
    <w:p>
      <w:pPr>
        <w:ind w:firstLine="700" w:firstLineChars="250"/>
        <w:rPr>
          <w:rFonts w:eastAsia="黑体"/>
          <w:i/>
          <w:color w:val="auto"/>
          <w:kern w:val="0"/>
          <w:sz w:val="28"/>
          <w:szCs w:val="28"/>
        </w:rPr>
      </w:pPr>
      <w:r>
        <w:rPr>
          <w:rFonts w:hint="eastAsia" w:ascii="宋体" w:hAnsi="宋体" w:eastAsia="宋体"/>
          <w:color w:val="auto"/>
          <w:kern w:val="0"/>
          <w:sz w:val="28"/>
          <w:szCs w:val="28"/>
          <w:lang w:eastAsia="zh-CN"/>
        </w:rPr>
        <w:t>（</w:t>
      </w:r>
      <w:r>
        <w:rPr>
          <w:rFonts w:hint="eastAsia" w:ascii="宋体" w:hAnsi="宋体" w:eastAsia="宋体"/>
          <w:color w:val="auto"/>
          <w:kern w:val="0"/>
          <w:sz w:val="28"/>
          <w:szCs w:val="28"/>
          <w:lang w:val="en-US" w:eastAsia="zh-CN"/>
        </w:rPr>
        <w:t>14</w:t>
      </w:r>
      <w:r>
        <w:rPr>
          <w:rFonts w:hint="eastAsia" w:ascii="宋体" w:hAnsi="宋体" w:eastAsia="宋体"/>
          <w:color w:val="auto"/>
          <w:kern w:val="0"/>
          <w:sz w:val="28"/>
          <w:szCs w:val="28"/>
          <w:lang w:eastAsia="zh-CN"/>
        </w:rPr>
        <w:t>）</w:t>
      </w:r>
      <w:r>
        <w:rPr>
          <w:rFonts w:hint="eastAsia" w:ascii="宋体" w:hAnsi="宋体" w:eastAsia="宋体" w:cs="宋体"/>
          <w:color w:val="auto"/>
          <w:kern w:val="0"/>
          <w:sz w:val="28"/>
          <w:szCs w:val="28"/>
        </w:rPr>
        <w:t>家燕</w:t>
      </w:r>
      <w:r>
        <w:rPr>
          <w:rFonts w:hint="eastAsia" w:ascii="宋体" w:hAnsi="宋体"/>
          <w:i/>
          <w:color w:val="auto"/>
          <w:kern w:val="0"/>
          <w:sz w:val="28"/>
          <w:szCs w:val="28"/>
        </w:rPr>
        <w:t xml:space="preserve"> </w:t>
      </w:r>
      <w:r>
        <w:rPr>
          <w:rFonts w:eastAsia="黑体"/>
          <w:i/>
          <w:color w:val="auto"/>
          <w:kern w:val="0"/>
          <w:sz w:val="28"/>
          <w:szCs w:val="28"/>
        </w:rPr>
        <w:t>Hirundo</w:t>
      </w:r>
      <w:r>
        <w:rPr>
          <w:rFonts w:hint="eastAsia" w:eastAsia="黑体"/>
          <w:i/>
          <w:color w:val="auto"/>
          <w:kern w:val="0"/>
          <w:sz w:val="28"/>
          <w:szCs w:val="28"/>
        </w:rPr>
        <w:t xml:space="preserve"> rustica</w:t>
      </w:r>
    </w:p>
    <w:p>
      <w:pPr>
        <w:ind w:firstLine="750" w:firstLineChars="250"/>
        <w:rPr>
          <w:i/>
          <w:color w:val="auto"/>
          <w:kern w:val="0"/>
          <w:sz w:val="30"/>
          <w:szCs w:val="30"/>
        </w:rPr>
      </w:pPr>
      <w:r>
        <w:rPr>
          <w:rFonts w:hint="eastAsia" w:ascii="黑体" w:hAnsi="黑体" w:eastAsia="黑体" w:cs="宋体"/>
          <w:color w:val="auto"/>
          <w:kern w:val="0"/>
          <w:sz w:val="30"/>
          <w:szCs w:val="30"/>
          <w:lang w:val="en-US" w:eastAsia="zh-CN"/>
        </w:rPr>
        <w:t>11</w:t>
      </w:r>
      <w:r>
        <w:rPr>
          <w:rFonts w:hint="eastAsia" w:ascii="黑体" w:hAnsi="黑体" w:eastAsia="黑体" w:cs="宋体"/>
          <w:color w:val="auto"/>
          <w:kern w:val="0"/>
          <w:sz w:val="30"/>
          <w:szCs w:val="30"/>
        </w:rPr>
        <w:t>、斑燕属</w:t>
      </w:r>
      <w:r>
        <w:rPr>
          <w:rFonts w:hint="eastAsia" w:ascii="宋体" w:hAnsi="宋体" w:cs="宋体"/>
          <w:color w:val="auto"/>
          <w:kern w:val="0"/>
          <w:sz w:val="28"/>
          <w:szCs w:val="28"/>
        </w:rPr>
        <w:t xml:space="preserve"> </w:t>
      </w:r>
      <w:r>
        <w:rPr>
          <w:i/>
          <w:color w:val="auto"/>
          <w:kern w:val="0"/>
          <w:sz w:val="30"/>
          <w:szCs w:val="30"/>
        </w:rPr>
        <w:t xml:space="preserve">Cecropis </w:t>
      </w:r>
    </w:p>
    <w:p>
      <w:pPr>
        <w:ind w:firstLine="700" w:firstLineChars="250"/>
        <w:rPr>
          <w:rFonts w:ascii="黑体" w:hAnsi="黑体" w:eastAsia="黑体" w:cs="宋体"/>
          <w:color w:val="auto"/>
          <w:kern w:val="0"/>
          <w:sz w:val="30"/>
          <w:szCs w:val="30"/>
        </w:rPr>
      </w:pPr>
      <w:r>
        <w:rPr>
          <w:rFonts w:hint="eastAsia" w:ascii="宋体" w:hAnsi="宋体" w:cs="宋体"/>
          <w:color w:val="auto"/>
          <w:kern w:val="0"/>
          <w:sz w:val="28"/>
          <w:szCs w:val="28"/>
        </w:rPr>
        <w:t>（15）</w:t>
      </w:r>
      <w:r>
        <w:rPr>
          <w:rFonts w:hint="eastAsia" w:ascii="宋体" w:hAnsi="宋体" w:eastAsia="宋体" w:cs="宋体"/>
          <w:color w:val="auto"/>
          <w:kern w:val="0"/>
          <w:sz w:val="28"/>
          <w:szCs w:val="28"/>
        </w:rPr>
        <w:t>金腰燕</w:t>
      </w:r>
      <w:r>
        <w:rPr>
          <w:rFonts w:hint="eastAsia"/>
          <w:i/>
          <w:iCs/>
          <w:color w:val="auto"/>
          <w:kern w:val="0"/>
          <w:sz w:val="28"/>
          <w:szCs w:val="28"/>
        </w:rPr>
        <w:t>Cecropis daurica</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十一</w:t>
      </w:r>
      <w:r>
        <w:rPr>
          <w:rFonts w:hint="eastAsia" w:ascii="黑体" w:eastAsia="黑体" w:cs="宋体"/>
          <w:color w:val="auto"/>
          <w:kern w:val="0"/>
          <w:sz w:val="30"/>
          <w:szCs w:val="30"/>
        </w:rPr>
        <w:t>）伯劳科</w:t>
      </w:r>
      <w:r>
        <w:rPr>
          <w:rFonts w:hint="eastAsia"/>
          <w:b/>
          <w:bCs/>
          <w:color w:val="auto"/>
          <w:kern w:val="0"/>
          <w:sz w:val="30"/>
          <w:szCs w:val="30"/>
        </w:rPr>
        <w:t>Laniidae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12</w:t>
      </w:r>
      <w:r>
        <w:rPr>
          <w:rFonts w:hint="eastAsia" w:ascii="黑体" w:eastAsia="黑体" w:cs="宋体"/>
          <w:color w:val="auto"/>
          <w:kern w:val="0"/>
          <w:sz w:val="30"/>
          <w:szCs w:val="30"/>
        </w:rPr>
        <w:t xml:space="preserve">、伯劳属 </w:t>
      </w:r>
      <w:r>
        <w:rPr>
          <w:rFonts w:hint="eastAsia" w:eastAsia="黑体"/>
          <w:i/>
          <w:iCs/>
          <w:color w:val="auto"/>
          <w:sz w:val="30"/>
          <w:szCs w:val="30"/>
        </w:rPr>
        <w:t>Lanius</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6</w:t>
      </w:r>
      <w:r>
        <w:rPr>
          <w:rFonts w:hint="eastAsia" w:ascii="宋体" w:hAnsi="宋体" w:cs="宋体"/>
          <w:color w:val="auto"/>
          <w:kern w:val="0"/>
          <w:sz w:val="28"/>
          <w:szCs w:val="28"/>
        </w:rPr>
        <w:t>）</w:t>
      </w:r>
      <w:r>
        <w:rPr>
          <w:rFonts w:hint="eastAsia" w:ascii="宋体" w:hAnsi="宋体" w:eastAsia="宋体" w:cs="宋体"/>
          <w:color w:val="auto"/>
          <w:kern w:val="0"/>
          <w:sz w:val="28"/>
          <w:szCs w:val="28"/>
        </w:rPr>
        <w:t>棕背伯劳</w:t>
      </w:r>
      <w:r>
        <w:rPr>
          <w:rFonts w:hint="eastAsia" w:ascii="宋体" w:hAnsi="宋体" w:cs="宋体"/>
          <w:color w:val="auto"/>
          <w:kern w:val="0"/>
          <w:sz w:val="28"/>
          <w:szCs w:val="28"/>
        </w:rPr>
        <w:t xml:space="preserve"> </w:t>
      </w:r>
      <w:r>
        <w:rPr>
          <w:i/>
          <w:color w:val="auto"/>
          <w:kern w:val="0"/>
          <w:sz w:val="28"/>
          <w:szCs w:val="28"/>
        </w:rPr>
        <w:t>Lanius schach</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十二</w:t>
      </w:r>
      <w:r>
        <w:rPr>
          <w:rFonts w:hint="eastAsia" w:ascii="黑体" w:eastAsia="黑体" w:cs="宋体"/>
          <w:color w:val="auto"/>
          <w:kern w:val="0"/>
          <w:sz w:val="30"/>
          <w:szCs w:val="30"/>
        </w:rPr>
        <w:t>）黄鹂科</w:t>
      </w:r>
      <w:r>
        <w:rPr>
          <w:rFonts w:hint="eastAsia"/>
          <w:b/>
          <w:bCs/>
          <w:color w:val="auto"/>
          <w:kern w:val="0"/>
          <w:sz w:val="30"/>
          <w:szCs w:val="30"/>
        </w:rPr>
        <w:t>Oriolidae</w:t>
      </w:r>
    </w:p>
    <w:p>
      <w:pPr>
        <w:ind w:firstLine="750" w:firstLineChars="250"/>
        <w:rPr>
          <w:rFonts w:hint="eastAsia" w:eastAsia="黑体"/>
          <w:i/>
          <w:iCs/>
          <w:color w:val="auto"/>
          <w:sz w:val="30"/>
          <w:szCs w:val="30"/>
        </w:rPr>
      </w:pPr>
      <w:r>
        <w:rPr>
          <w:rFonts w:hint="eastAsia" w:ascii="黑体" w:eastAsia="黑体" w:cs="宋体"/>
          <w:color w:val="auto"/>
          <w:kern w:val="0"/>
          <w:sz w:val="30"/>
          <w:szCs w:val="30"/>
          <w:lang w:val="en-US" w:eastAsia="zh-CN"/>
        </w:rPr>
        <w:t>13</w:t>
      </w:r>
      <w:r>
        <w:rPr>
          <w:rFonts w:hint="eastAsia" w:ascii="黑体" w:eastAsia="黑体" w:cs="宋体"/>
          <w:color w:val="auto"/>
          <w:kern w:val="0"/>
          <w:sz w:val="30"/>
          <w:szCs w:val="30"/>
        </w:rPr>
        <w:t>、</w:t>
      </w:r>
      <w:r>
        <w:rPr>
          <w:color w:val="auto"/>
        </w:rPr>
        <w:fldChar w:fldCharType="begin"/>
      </w:r>
      <w:r>
        <w:rPr>
          <w:color w:val="auto"/>
        </w:rPr>
        <w:instrText xml:space="preserve"> HYPERLINK "http://baike.baidu.com/view/1182132.htm" \t "http://baike.baidu.com/view/_blank" </w:instrText>
      </w:r>
      <w:r>
        <w:rPr>
          <w:color w:val="auto"/>
        </w:rPr>
        <w:fldChar w:fldCharType="separate"/>
      </w:r>
      <w:r>
        <w:rPr>
          <w:rFonts w:hint="eastAsia" w:ascii="黑体" w:eastAsia="黑体" w:cs="宋体"/>
          <w:color w:val="auto"/>
          <w:kern w:val="0"/>
          <w:sz w:val="30"/>
          <w:szCs w:val="30"/>
        </w:rPr>
        <w:t>黄鹂属</w:t>
      </w:r>
      <w:r>
        <w:rPr>
          <w:rFonts w:ascii="黑体" w:eastAsia="黑体" w:cs="宋体"/>
          <w:color w:val="auto"/>
          <w:kern w:val="0"/>
          <w:sz w:val="30"/>
          <w:szCs w:val="30"/>
        </w:rPr>
        <w:fldChar w:fldCharType="end"/>
      </w:r>
      <w:r>
        <w:rPr>
          <w:rFonts w:hint="eastAsia" w:ascii="黑体" w:eastAsia="黑体" w:cs="宋体"/>
          <w:color w:val="auto"/>
          <w:kern w:val="0"/>
          <w:sz w:val="30"/>
          <w:szCs w:val="30"/>
        </w:rPr>
        <w:t xml:space="preserve"> </w:t>
      </w:r>
      <w:r>
        <w:rPr>
          <w:rFonts w:hint="eastAsia" w:eastAsia="黑体"/>
          <w:i/>
          <w:iCs/>
          <w:color w:val="auto"/>
          <w:sz w:val="30"/>
          <w:szCs w:val="30"/>
        </w:rPr>
        <w:t>Oriolus</w:t>
      </w:r>
    </w:p>
    <w:p>
      <w:pPr>
        <w:ind w:firstLine="700" w:firstLineChars="250"/>
        <w:rPr>
          <w:i/>
          <w:color w:val="auto"/>
          <w:kern w:val="0"/>
          <w:sz w:val="28"/>
          <w:szCs w:val="28"/>
        </w:rPr>
      </w:pPr>
      <w:r>
        <w:rPr>
          <w:rFonts w:hint="eastAsia" w:ascii="宋体" w:hAnsi="宋体" w:cs="宋体"/>
          <w:color w:val="auto"/>
          <w:kern w:val="0"/>
          <w:sz w:val="28"/>
          <w:szCs w:val="28"/>
        </w:rPr>
        <w:t>（17）</w:t>
      </w:r>
      <w:r>
        <w:rPr>
          <w:rFonts w:hint="eastAsia" w:ascii="宋体" w:hAnsi="宋体" w:eastAsia="宋体" w:cs="宋体"/>
          <w:color w:val="auto"/>
          <w:kern w:val="0"/>
          <w:sz w:val="28"/>
          <w:szCs w:val="28"/>
        </w:rPr>
        <w:t>黑枕黄鹂</w:t>
      </w:r>
      <w:r>
        <w:rPr>
          <w:rFonts w:hint="eastAsia" w:ascii="宋体" w:hAnsi="宋体" w:cs="宋体"/>
          <w:color w:val="auto"/>
          <w:kern w:val="0"/>
          <w:sz w:val="28"/>
          <w:szCs w:val="28"/>
        </w:rPr>
        <w:t xml:space="preserve"> </w:t>
      </w:r>
      <w:r>
        <w:rPr>
          <w:i/>
          <w:color w:val="auto"/>
          <w:kern w:val="0"/>
          <w:sz w:val="28"/>
          <w:szCs w:val="28"/>
        </w:rPr>
        <w:t>Oriolus chinensi</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十三</w:t>
      </w:r>
      <w:r>
        <w:rPr>
          <w:rFonts w:hint="eastAsia" w:ascii="黑体" w:eastAsia="黑体" w:cs="宋体"/>
          <w:color w:val="auto"/>
          <w:kern w:val="0"/>
          <w:sz w:val="30"/>
          <w:szCs w:val="30"/>
        </w:rPr>
        <w:t>）卷尾科</w:t>
      </w:r>
      <w:r>
        <w:rPr>
          <w:rFonts w:hint="eastAsia"/>
          <w:b/>
          <w:bCs/>
          <w:color w:val="auto"/>
          <w:kern w:val="0"/>
          <w:sz w:val="30"/>
          <w:szCs w:val="30"/>
        </w:rPr>
        <w:t>Dicruridae</w:t>
      </w:r>
    </w:p>
    <w:p>
      <w:pPr>
        <w:ind w:firstLine="750" w:firstLineChars="250"/>
        <w:rPr>
          <w:rFonts w:hint="eastAsia" w:eastAsia="黑体"/>
          <w:i/>
          <w:iCs/>
          <w:color w:val="auto"/>
          <w:sz w:val="30"/>
          <w:szCs w:val="30"/>
        </w:rPr>
      </w:pPr>
      <w:r>
        <w:rPr>
          <w:rFonts w:hint="eastAsia" w:ascii="黑体" w:eastAsia="黑体" w:cs="宋体"/>
          <w:color w:val="auto"/>
          <w:kern w:val="0"/>
          <w:sz w:val="30"/>
          <w:szCs w:val="30"/>
          <w:lang w:val="en-US" w:eastAsia="zh-CN"/>
        </w:rPr>
        <w:t>14</w:t>
      </w:r>
      <w:r>
        <w:rPr>
          <w:rFonts w:hint="eastAsia" w:ascii="黑体" w:eastAsia="黑体" w:cs="宋体"/>
          <w:color w:val="auto"/>
          <w:kern w:val="0"/>
          <w:sz w:val="30"/>
          <w:szCs w:val="30"/>
        </w:rPr>
        <w:t xml:space="preserve">、卷尾属 </w:t>
      </w:r>
      <w:r>
        <w:rPr>
          <w:rFonts w:hint="eastAsia" w:eastAsia="黑体"/>
          <w:i/>
          <w:iCs/>
          <w:color w:val="auto"/>
          <w:sz w:val="30"/>
          <w:szCs w:val="30"/>
        </w:rPr>
        <w:t>Dicrurus</w:t>
      </w:r>
    </w:p>
    <w:p>
      <w:pPr>
        <w:ind w:firstLine="700" w:firstLineChars="250"/>
        <w:rPr>
          <w:i/>
          <w:iCs/>
          <w:color w:val="auto"/>
          <w:szCs w:val="21"/>
        </w:rPr>
      </w:pPr>
      <w:r>
        <w:rPr>
          <w:rFonts w:hint="eastAsia" w:ascii="宋体" w:hAnsi="宋体" w:cs="宋体"/>
          <w:color w:val="auto"/>
          <w:kern w:val="0"/>
          <w:sz w:val="28"/>
          <w:szCs w:val="28"/>
        </w:rPr>
        <w:t>（1</w:t>
      </w:r>
      <w:r>
        <w:rPr>
          <w:rFonts w:hint="eastAsia" w:ascii="宋体" w:hAnsi="宋体" w:cs="宋体"/>
          <w:color w:val="auto"/>
          <w:kern w:val="0"/>
          <w:sz w:val="28"/>
          <w:szCs w:val="28"/>
          <w:lang w:val="en-US" w:eastAsia="zh-CN"/>
        </w:rPr>
        <w:t>8</w:t>
      </w:r>
      <w:r>
        <w:rPr>
          <w:rFonts w:hint="eastAsia" w:ascii="宋体" w:hAnsi="宋体" w:cs="宋体"/>
          <w:color w:val="auto"/>
          <w:kern w:val="0"/>
          <w:sz w:val="28"/>
          <w:szCs w:val="28"/>
        </w:rPr>
        <w:t>）</w:t>
      </w:r>
      <w:r>
        <w:rPr>
          <w:rFonts w:hint="eastAsia" w:ascii="宋体" w:hAnsi="宋体" w:eastAsia="宋体" w:cs="宋体"/>
          <w:color w:val="auto"/>
          <w:kern w:val="0"/>
          <w:sz w:val="28"/>
          <w:szCs w:val="28"/>
        </w:rPr>
        <w:t>黑卷尾</w:t>
      </w:r>
      <w:r>
        <w:rPr>
          <w:rFonts w:hint="eastAsia"/>
          <w:i/>
          <w:iCs/>
          <w:color w:val="auto"/>
          <w:kern w:val="0"/>
          <w:sz w:val="28"/>
          <w:szCs w:val="28"/>
        </w:rPr>
        <w:t>Dicrurus macrocercus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十四</w:t>
      </w:r>
      <w:r>
        <w:rPr>
          <w:rFonts w:hint="eastAsia" w:ascii="黑体" w:eastAsia="黑体" w:cs="宋体"/>
          <w:color w:val="auto"/>
          <w:kern w:val="0"/>
          <w:sz w:val="30"/>
          <w:szCs w:val="30"/>
        </w:rPr>
        <w:t>）椋鸟科</w:t>
      </w:r>
      <w:r>
        <w:rPr>
          <w:rFonts w:hint="eastAsia"/>
          <w:b/>
          <w:bCs/>
          <w:color w:val="auto"/>
          <w:kern w:val="0"/>
          <w:sz w:val="30"/>
          <w:szCs w:val="30"/>
        </w:rPr>
        <w:t>Sturnidae</w:t>
      </w:r>
    </w:p>
    <w:p>
      <w:pPr>
        <w:ind w:firstLine="750" w:firstLineChars="250"/>
        <w:rPr>
          <w:i/>
          <w:color w:val="auto"/>
          <w:kern w:val="0"/>
          <w:sz w:val="30"/>
          <w:szCs w:val="30"/>
        </w:rPr>
      </w:pPr>
      <w:r>
        <w:rPr>
          <w:rFonts w:hint="eastAsia" w:ascii="黑体" w:hAnsi="黑体" w:eastAsia="黑体" w:cs="宋体"/>
          <w:color w:val="auto"/>
          <w:kern w:val="0"/>
          <w:sz w:val="30"/>
          <w:szCs w:val="30"/>
          <w:lang w:val="en-US" w:eastAsia="zh-CN"/>
        </w:rPr>
        <w:t>15</w:t>
      </w:r>
      <w:r>
        <w:rPr>
          <w:rFonts w:hint="eastAsia" w:ascii="黑体" w:hAnsi="黑体" w:eastAsia="黑体" w:cs="宋体"/>
          <w:color w:val="auto"/>
          <w:kern w:val="0"/>
          <w:sz w:val="30"/>
          <w:szCs w:val="30"/>
        </w:rPr>
        <w:t>、八哥属</w:t>
      </w:r>
      <w:r>
        <w:rPr>
          <w:rFonts w:hint="eastAsia" w:ascii="宋体" w:hAnsi="宋体" w:cs="宋体"/>
          <w:color w:val="auto"/>
          <w:kern w:val="0"/>
          <w:sz w:val="30"/>
          <w:szCs w:val="30"/>
        </w:rPr>
        <w:t xml:space="preserve"> </w:t>
      </w:r>
      <w:r>
        <w:rPr>
          <w:i/>
          <w:color w:val="auto"/>
          <w:kern w:val="0"/>
          <w:sz w:val="30"/>
          <w:szCs w:val="30"/>
        </w:rPr>
        <w:t>Acridotheres</w:t>
      </w:r>
    </w:p>
    <w:p>
      <w:pPr>
        <w:ind w:firstLine="700" w:firstLineChars="250"/>
        <w:rPr>
          <w:i/>
          <w:color w:val="auto"/>
          <w:kern w:val="0"/>
          <w:sz w:val="30"/>
          <w:szCs w:val="30"/>
        </w:rPr>
      </w:pPr>
      <w:r>
        <w:rPr>
          <w:rFonts w:hint="eastAsia" w:ascii="宋体" w:hAnsi="宋体" w:cs="宋体"/>
          <w:color w:val="auto"/>
          <w:kern w:val="0"/>
          <w:sz w:val="28"/>
          <w:szCs w:val="28"/>
        </w:rPr>
        <w:t>（19）</w:t>
      </w:r>
      <w:r>
        <w:rPr>
          <w:rFonts w:hint="eastAsia" w:ascii="宋体" w:hAnsi="宋体" w:eastAsia="宋体" w:cs="宋体"/>
          <w:color w:val="auto"/>
          <w:kern w:val="0"/>
          <w:sz w:val="28"/>
          <w:szCs w:val="28"/>
        </w:rPr>
        <w:t>八哥</w:t>
      </w:r>
      <w:r>
        <w:rPr>
          <w:rFonts w:hint="eastAsia" w:ascii="宋体" w:hAnsi="宋体" w:cs="宋体"/>
          <w:color w:val="auto"/>
          <w:kern w:val="0"/>
          <w:sz w:val="28"/>
          <w:szCs w:val="28"/>
        </w:rPr>
        <w:t xml:space="preserve"> Acridotheres cristatellus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十五</w:t>
      </w:r>
      <w:r>
        <w:rPr>
          <w:rFonts w:hint="eastAsia" w:ascii="黑体" w:eastAsia="黑体" w:cs="宋体"/>
          <w:color w:val="auto"/>
          <w:kern w:val="0"/>
          <w:sz w:val="30"/>
          <w:szCs w:val="30"/>
        </w:rPr>
        <w:t>）鸦科</w:t>
      </w:r>
      <w:r>
        <w:rPr>
          <w:rFonts w:hint="eastAsia"/>
          <w:b/>
          <w:bCs/>
          <w:color w:val="auto"/>
          <w:kern w:val="0"/>
          <w:sz w:val="30"/>
          <w:szCs w:val="30"/>
        </w:rPr>
        <w:t>Corvidae</w:t>
      </w:r>
    </w:p>
    <w:p>
      <w:pPr>
        <w:ind w:firstLine="750" w:firstLineChars="250"/>
        <w:rPr>
          <w:i/>
          <w:color w:val="auto"/>
          <w:kern w:val="0"/>
          <w:sz w:val="30"/>
          <w:szCs w:val="30"/>
        </w:rPr>
      </w:pPr>
      <w:r>
        <w:rPr>
          <w:rFonts w:hint="eastAsia" w:ascii="黑体" w:hAnsi="黑体" w:eastAsia="黑体"/>
          <w:color w:val="auto"/>
          <w:kern w:val="0"/>
          <w:sz w:val="30"/>
          <w:szCs w:val="30"/>
          <w:lang w:val="en-US" w:eastAsia="zh-CN"/>
        </w:rPr>
        <w:t>16</w:t>
      </w:r>
      <w:r>
        <w:rPr>
          <w:rFonts w:ascii="黑体" w:hAnsi="黑体" w:eastAsia="黑体"/>
          <w:color w:val="auto"/>
          <w:kern w:val="0"/>
          <w:sz w:val="30"/>
          <w:szCs w:val="30"/>
        </w:rPr>
        <w:t xml:space="preserve">、灰喜鹊属 </w:t>
      </w:r>
      <w:r>
        <w:rPr>
          <w:i/>
          <w:color w:val="auto"/>
          <w:kern w:val="0"/>
          <w:sz w:val="30"/>
          <w:szCs w:val="30"/>
        </w:rPr>
        <w:t xml:space="preserve">Cyanopica </w:t>
      </w:r>
    </w:p>
    <w:p>
      <w:pPr>
        <w:ind w:firstLine="700" w:firstLineChars="250"/>
        <w:rPr>
          <w:rFonts w:ascii="宋体" w:hAnsi="宋体"/>
          <w:color w:val="auto"/>
          <w:kern w:val="0"/>
          <w:sz w:val="28"/>
          <w:szCs w:val="28"/>
        </w:rPr>
      </w:pPr>
      <w:r>
        <w:rPr>
          <w:rFonts w:hint="eastAsia" w:ascii="宋体" w:hAnsi="宋体"/>
          <w:color w:val="auto"/>
          <w:kern w:val="0"/>
          <w:sz w:val="28"/>
          <w:szCs w:val="28"/>
          <w:lang w:eastAsia="zh-CN"/>
        </w:rPr>
        <w:t>（</w:t>
      </w:r>
      <w:r>
        <w:rPr>
          <w:rFonts w:hint="eastAsia" w:ascii="宋体" w:hAnsi="宋体"/>
          <w:color w:val="auto"/>
          <w:kern w:val="0"/>
          <w:sz w:val="28"/>
          <w:szCs w:val="28"/>
          <w:lang w:val="en-US" w:eastAsia="zh-CN"/>
        </w:rPr>
        <w:t>20）</w:t>
      </w:r>
      <w:r>
        <w:rPr>
          <w:rFonts w:hint="eastAsia" w:ascii="宋体" w:hAnsi="宋体" w:eastAsia="宋体" w:cs="宋体"/>
          <w:color w:val="auto"/>
          <w:kern w:val="0"/>
          <w:sz w:val="28"/>
          <w:szCs w:val="28"/>
        </w:rPr>
        <w:t>灰喜鹊</w:t>
      </w:r>
      <w:r>
        <w:rPr>
          <w:rFonts w:hint="eastAsia" w:ascii="宋体" w:hAnsi="宋体"/>
          <w:color w:val="auto"/>
          <w:kern w:val="0"/>
          <w:sz w:val="28"/>
          <w:szCs w:val="28"/>
        </w:rPr>
        <w:t xml:space="preserve"> Cyanopica cyanus</w:t>
      </w:r>
    </w:p>
    <w:p>
      <w:pPr>
        <w:ind w:firstLine="750" w:firstLineChars="250"/>
        <w:rPr>
          <w:i/>
          <w:color w:val="auto"/>
          <w:kern w:val="0"/>
          <w:sz w:val="30"/>
          <w:szCs w:val="30"/>
        </w:rPr>
      </w:pPr>
      <w:r>
        <w:rPr>
          <w:rFonts w:hint="eastAsia" w:ascii="黑体" w:hAnsi="黑体" w:eastAsia="黑体" w:cs="宋体"/>
          <w:color w:val="auto"/>
          <w:kern w:val="0"/>
          <w:sz w:val="30"/>
          <w:szCs w:val="30"/>
        </w:rPr>
        <w:t>1</w:t>
      </w:r>
      <w:r>
        <w:rPr>
          <w:rFonts w:hint="eastAsia" w:ascii="黑体" w:hAnsi="黑体" w:eastAsia="黑体" w:cs="宋体"/>
          <w:color w:val="auto"/>
          <w:kern w:val="0"/>
          <w:sz w:val="30"/>
          <w:szCs w:val="30"/>
          <w:lang w:val="en-US" w:eastAsia="zh-CN"/>
        </w:rPr>
        <w:t>7</w:t>
      </w:r>
      <w:r>
        <w:rPr>
          <w:rFonts w:hint="eastAsia" w:ascii="黑体" w:hAnsi="黑体" w:eastAsia="黑体" w:cs="宋体"/>
          <w:color w:val="auto"/>
          <w:kern w:val="0"/>
          <w:sz w:val="30"/>
          <w:szCs w:val="30"/>
        </w:rPr>
        <w:t xml:space="preserve">、鹊属 </w:t>
      </w:r>
      <w:r>
        <w:rPr>
          <w:i/>
          <w:color w:val="auto"/>
          <w:kern w:val="0"/>
          <w:sz w:val="30"/>
          <w:szCs w:val="30"/>
        </w:rPr>
        <w:t>Pica</w:t>
      </w:r>
    </w:p>
    <w:p>
      <w:pPr>
        <w:tabs>
          <w:tab w:val="center" w:pos="4503"/>
        </w:tabs>
        <w:ind w:firstLine="700" w:firstLineChars="250"/>
        <w:rPr>
          <w:rFonts w:ascii="黑体" w:eastAsia="黑体" w:cs="宋体"/>
          <w:color w:val="auto"/>
          <w:kern w:val="0"/>
          <w:sz w:val="30"/>
          <w:szCs w:val="30"/>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21</w:t>
      </w:r>
      <w:r>
        <w:rPr>
          <w:rFonts w:hint="eastAsia" w:ascii="宋体" w:hAnsi="宋体" w:cs="宋体"/>
          <w:color w:val="auto"/>
          <w:kern w:val="0"/>
          <w:sz w:val="28"/>
          <w:szCs w:val="28"/>
        </w:rPr>
        <w:t>)</w:t>
      </w:r>
      <w:r>
        <w:rPr>
          <w:rFonts w:hint="eastAsia" w:ascii="宋体" w:hAnsi="宋体"/>
          <w:color w:val="auto"/>
          <w:sz w:val="28"/>
          <w:szCs w:val="28"/>
        </w:rPr>
        <w:t xml:space="preserve"> </w:t>
      </w:r>
      <w:r>
        <w:rPr>
          <w:rFonts w:hint="eastAsia" w:ascii="宋体" w:hAnsi="宋体" w:eastAsia="宋体" w:cs="宋体"/>
          <w:color w:val="auto"/>
          <w:kern w:val="0"/>
          <w:sz w:val="28"/>
          <w:szCs w:val="28"/>
        </w:rPr>
        <w:t>喜鹊</w:t>
      </w:r>
      <w:r>
        <w:rPr>
          <w:rFonts w:hint="eastAsia" w:ascii="黑体" w:eastAsia="黑体" w:cs="宋体"/>
          <w:color w:val="auto"/>
          <w:kern w:val="0"/>
          <w:sz w:val="30"/>
          <w:szCs w:val="30"/>
        </w:rPr>
        <w:t xml:space="preserve"> </w:t>
      </w:r>
      <w:r>
        <w:rPr>
          <w:rFonts w:eastAsia="黑体"/>
          <w:i/>
          <w:color w:val="auto"/>
          <w:kern w:val="0"/>
          <w:sz w:val="30"/>
          <w:szCs w:val="30"/>
        </w:rPr>
        <w:t>Pica pica</w:t>
      </w:r>
      <w:r>
        <w:rPr>
          <w:rFonts w:eastAsia="黑体"/>
          <w:i/>
          <w:color w:val="auto"/>
          <w:kern w:val="0"/>
          <w:sz w:val="30"/>
          <w:szCs w:val="30"/>
        </w:rPr>
        <w:tab/>
      </w:r>
    </w:p>
    <w:p>
      <w:pPr>
        <w:ind w:firstLine="750" w:firstLineChars="250"/>
        <w:rPr>
          <w:rFonts w:ascii="宋体" w:hAnsi="宋体" w:cs="宋体"/>
          <w:color w:val="auto"/>
          <w:kern w:val="0"/>
          <w:sz w:val="30"/>
          <w:szCs w:val="30"/>
        </w:rPr>
      </w:pPr>
      <w:r>
        <w:rPr>
          <w:rFonts w:hint="eastAsia" w:ascii="黑体" w:hAnsi="黑体" w:eastAsia="黑体" w:cs="宋体"/>
          <w:color w:val="auto"/>
          <w:kern w:val="0"/>
          <w:sz w:val="30"/>
          <w:szCs w:val="30"/>
        </w:rPr>
        <w:t>1</w:t>
      </w:r>
      <w:r>
        <w:rPr>
          <w:rFonts w:hint="eastAsia" w:ascii="黑体" w:hAnsi="黑体" w:eastAsia="黑体" w:cs="宋体"/>
          <w:color w:val="auto"/>
          <w:kern w:val="0"/>
          <w:sz w:val="30"/>
          <w:szCs w:val="30"/>
          <w:lang w:val="en-US" w:eastAsia="zh-CN"/>
        </w:rPr>
        <w:t>8</w:t>
      </w:r>
      <w:r>
        <w:rPr>
          <w:rFonts w:hint="eastAsia" w:ascii="黑体" w:hAnsi="黑体" w:eastAsia="黑体" w:cs="宋体"/>
          <w:color w:val="auto"/>
          <w:kern w:val="0"/>
          <w:sz w:val="30"/>
          <w:szCs w:val="30"/>
        </w:rPr>
        <w:t xml:space="preserve">、鸦属 </w:t>
      </w:r>
      <w:r>
        <w:rPr>
          <w:i/>
          <w:color w:val="auto"/>
          <w:kern w:val="0"/>
          <w:sz w:val="30"/>
          <w:szCs w:val="30"/>
        </w:rPr>
        <w:t>Corvus</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w:t>
      </w:r>
      <w:r>
        <w:rPr>
          <w:rFonts w:hint="eastAsia" w:ascii="宋体" w:hAnsi="宋体" w:cs="宋体"/>
          <w:color w:val="auto"/>
          <w:kern w:val="0"/>
          <w:sz w:val="28"/>
          <w:szCs w:val="28"/>
          <w:lang w:val="en-US" w:eastAsia="zh-CN"/>
        </w:rPr>
        <w:t>22</w:t>
      </w:r>
      <w:r>
        <w:rPr>
          <w:rFonts w:hint="eastAsia" w:ascii="宋体" w:hAnsi="宋体" w:cs="宋体"/>
          <w:color w:val="auto"/>
          <w:kern w:val="0"/>
          <w:sz w:val="28"/>
          <w:szCs w:val="28"/>
        </w:rPr>
        <w:t>）</w:t>
      </w:r>
      <w:r>
        <w:rPr>
          <w:rFonts w:hint="eastAsia" w:ascii="宋体" w:hAnsi="宋体" w:eastAsia="宋体" w:cs="宋体"/>
          <w:color w:val="auto"/>
          <w:kern w:val="0"/>
          <w:sz w:val="28"/>
          <w:szCs w:val="28"/>
        </w:rPr>
        <w:t>乌鸦</w:t>
      </w:r>
      <w:r>
        <w:rPr>
          <w:i/>
          <w:color w:val="auto"/>
          <w:kern w:val="0"/>
          <w:sz w:val="28"/>
          <w:szCs w:val="28"/>
        </w:rPr>
        <w:t xml:space="preserve">Corvus </w:t>
      </w:r>
      <w:r>
        <w:rPr>
          <w:rFonts w:hint="eastAsia"/>
          <w:i/>
          <w:color w:val="auto"/>
          <w:kern w:val="0"/>
          <w:sz w:val="28"/>
          <w:szCs w:val="28"/>
          <w:lang w:val="en-US" w:eastAsia="zh-CN"/>
        </w:rPr>
        <w:t>macrorhyynchos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十六</w:t>
      </w:r>
      <w:r>
        <w:rPr>
          <w:rFonts w:hint="eastAsia" w:ascii="黑体" w:eastAsia="黑体" w:cs="宋体"/>
          <w:color w:val="auto"/>
          <w:kern w:val="0"/>
          <w:sz w:val="30"/>
          <w:szCs w:val="30"/>
        </w:rPr>
        <w:t>）鸫科</w:t>
      </w:r>
      <w:r>
        <w:rPr>
          <w:rFonts w:hint="eastAsia"/>
          <w:b/>
          <w:bCs/>
          <w:color w:val="auto"/>
          <w:kern w:val="0"/>
          <w:sz w:val="30"/>
          <w:szCs w:val="30"/>
        </w:rPr>
        <w:t>Turdidae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rPr>
        <w:t>1</w:t>
      </w:r>
      <w:r>
        <w:rPr>
          <w:rFonts w:hint="eastAsia" w:ascii="黑体" w:eastAsia="黑体" w:cs="宋体"/>
          <w:color w:val="auto"/>
          <w:kern w:val="0"/>
          <w:sz w:val="30"/>
          <w:szCs w:val="30"/>
          <w:lang w:val="en-US" w:eastAsia="zh-CN"/>
        </w:rPr>
        <w:t>9</w:t>
      </w:r>
      <w:r>
        <w:rPr>
          <w:rFonts w:hint="eastAsia" w:ascii="黑体" w:eastAsia="黑体" w:cs="宋体"/>
          <w:color w:val="auto"/>
          <w:kern w:val="0"/>
          <w:sz w:val="30"/>
          <w:szCs w:val="30"/>
        </w:rPr>
        <w:t>、鸫属</w:t>
      </w:r>
      <w:r>
        <w:rPr>
          <w:rFonts w:hint="eastAsia" w:eastAsia="黑体"/>
          <w:i/>
          <w:iCs/>
          <w:color w:val="auto"/>
          <w:sz w:val="30"/>
          <w:szCs w:val="30"/>
        </w:rPr>
        <w:t xml:space="preserve">Turdus </w:t>
      </w:r>
    </w:p>
    <w:p>
      <w:pPr>
        <w:ind w:firstLine="700" w:firstLineChars="250"/>
        <w:rPr>
          <w:i/>
          <w:iCs/>
          <w:color w:val="auto"/>
          <w:szCs w:val="21"/>
        </w:rPr>
      </w:pPr>
      <w:r>
        <w:rPr>
          <w:rFonts w:hint="eastAsia" w:ascii="宋体" w:hAnsi="宋体" w:cs="宋体"/>
          <w:color w:val="auto"/>
          <w:kern w:val="0"/>
          <w:sz w:val="28"/>
          <w:szCs w:val="28"/>
        </w:rPr>
        <w:t>（2</w:t>
      </w:r>
      <w:r>
        <w:rPr>
          <w:rFonts w:hint="eastAsia" w:ascii="宋体" w:hAnsi="宋体" w:cs="宋体"/>
          <w:color w:val="auto"/>
          <w:kern w:val="0"/>
          <w:sz w:val="28"/>
          <w:szCs w:val="28"/>
          <w:lang w:val="en-US" w:eastAsia="zh-CN"/>
        </w:rPr>
        <w:t>3</w:t>
      </w:r>
      <w:r>
        <w:rPr>
          <w:rFonts w:hint="eastAsia" w:ascii="宋体" w:hAnsi="宋体" w:cs="宋体"/>
          <w:color w:val="auto"/>
          <w:kern w:val="0"/>
          <w:sz w:val="28"/>
          <w:szCs w:val="28"/>
        </w:rPr>
        <w:t>）</w:t>
      </w:r>
      <w:r>
        <w:rPr>
          <w:rFonts w:hint="eastAsia" w:ascii="宋体" w:hAnsi="宋体" w:eastAsia="宋体" w:cs="宋体"/>
          <w:color w:val="auto"/>
          <w:kern w:val="0"/>
          <w:sz w:val="28"/>
          <w:szCs w:val="28"/>
        </w:rPr>
        <w:t>乌鸫</w:t>
      </w:r>
      <w:r>
        <w:rPr>
          <w:rFonts w:hint="eastAsia"/>
          <w:i/>
          <w:iCs/>
          <w:color w:val="auto"/>
          <w:kern w:val="0"/>
          <w:sz w:val="28"/>
          <w:szCs w:val="28"/>
        </w:rPr>
        <w:t>Turdus merula</w:t>
      </w:r>
    </w:p>
    <w:p>
      <w:pPr>
        <w:rPr>
          <w:rFonts w:hint="eastAsia"/>
          <w:b/>
          <w:bCs/>
          <w:color w:val="auto"/>
          <w:kern w:val="0"/>
          <w:sz w:val="30"/>
          <w:szCs w:val="30"/>
        </w:rPr>
      </w:pPr>
      <w:r>
        <w:rPr>
          <w:rFonts w:hint="eastAsia" w:ascii="黑体" w:hAnsi="黑体" w:eastAsia="黑体" w:cs="宋体"/>
          <w:color w:val="auto"/>
          <w:kern w:val="0"/>
          <w:sz w:val="30"/>
          <w:szCs w:val="30"/>
        </w:rPr>
        <w:t>（</w:t>
      </w:r>
      <w:r>
        <w:rPr>
          <w:rFonts w:hint="eastAsia" w:ascii="黑体" w:hAnsi="黑体" w:eastAsia="黑体" w:cs="宋体"/>
          <w:color w:val="auto"/>
          <w:kern w:val="0"/>
          <w:sz w:val="30"/>
          <w:szCs w:val="30"/>
          <w:lang w:val="en-US" w:eastAsia="zh-CN"/>
        </w:rPr>
        <w:t>十七</w:t>
      </w:r>
      <w:r>
        <w:rPr>
          <w:rFonts w:hint="eastAsia" w:ascii="黑体" w:hAnsi="黑体" w:eastAsia="黑体" w:cs="宋体"/>
          <w:color w:val="auto"/>
          <w:kern w:val="0"/>
          <w:sz w:val="30"/>
          <w:szCs w:val="30"/>
        </w:rPr>
        <w:t>）</w:t>
      </w:r>
      <w:r>
        <w:rPr>
          <w:rFonts w:hint="eastAsia" w:ascii="黑体" w:eastAsia="黑体" w:cs="宋体"/>
          <w:color w:val="auto"/>
          <w:kern w:val="0"/>
          <w:sz w:val="30"/>
          <w:szCs w:val="30"/>
        </w:rPr>
        <w:t>画眉科</w:t>
      </w:r>
      <w:r>
        <w:rPr>
          <w:rFonts w:hint="eastAsia"/>
          <w:b/>
          <w:bCs/>
          <w:color w:val="auto"/>
          <w:kern w:val="0"/>
          <w:sz w:val="30"/>
          <w:szCs w:val="30"/>
        </w:rPr>
        <w:t>Timaliidae</w:t>
      </w:r>
    </w:p>
    <w:p>
      <w:pPr>
        <w:ind w:firstLine="750" w:firstLineChars="250"/>
        <w:rPr>
          <w:rFonts w:hint="eastAsia"/>
          <w:b/>
          <w:bCs/>
          <w:color w:val="auto"/>
          <w:kern w:val="0"/>
          <w:sz w:val="30"/>
          <w:szCs w:val="30"/>
        </w:rPr>
      </w:pPr>
      <w:r>
        <w:rPr>
          <w:rFonts w:hint="eastAsia" w:ascii="黑体" w:eastAsia="黑体" w:cs="宋体"/>
          <w:color w:val="auto"/>
          <w:kern w:val="0"/>
          <w:sz w:val="30"/>
          <w:szCs w:val="30"/>
          <w:lang w:val="en-US" w:eastAsia="zh-CN"/>
        </w:rPr>
        <w:t>20</w:t>
      </w:r>
      <w:r>
        <w:rPr>
          <w:rFonts w:hint="eastAsia" w:ascii="黑体" w:eastAsia="黑体" w:cs="宋体"/>
          <w:color w:val="auto"/>
          <w:kern w:val="0"/>
          <w:sz w:val="30"/>
          <w:szCs w:val="30"/>
        </w:rPr>
        <w:t>、噪鹛属</w:t>
      </w:r>
      <w:r>
        <w:rPr>
          <w:rFonts w:hint="eastAsia" w:eastAsia="黑体"/>
          <w:i/>
          <w:iCs/>
          <w:color w:val="auto"/>
          <w:sz w:val="30"/>
          <w:szCs w:val="30"/>
        </w:rPr>
        <w:t>Garrulax</w:t>
      </w:r>
    </w:p>
    <w:p>
      <w:pPr>
        <w:ind w:firstLine="700" w:firstLineChars="250"/>
        <w:rPr>
          <w:rFonts w:ascii="宋体" w:hAnsi="宋体" w:cs="宋体"/>
          <w:color w:val="auto"/>
          <w:kern w:val="0"/>
          <w:sz w:val="28"/>
          <w:szCs w:val="28"/>
        </w:rPr>
      </w:pPr>
      <w:r>
        <w:rPr>
          <w:rFonts w:hint="eastAsia" w:ascii="宋体" w:hAnsi="宋体" w:cs="宋体"/>
          <w:color w:val="auto"/>
          <w:kern w:val="0"/>
          <w:sz w:val="28"/>
          <w:szCs w:val="28"/>
        </w:rPr>
        <w:t>（2</w:t>
      </w:r>
      <w:r>
        <w:rPr>
          <w:rFonts w:hint="eastAsia" w:ascii="宋体" w:hAnsi="宋体" w:cs="宋体"/>
          <w:color w:val="auto"/>
          <w:kern w:val="0"/>
          <w:sz w:val="28"/>
          <w:szCs w:val="28"/>
          <w:lang w:val="en-US" w:eastAsia="zh-CN"/>
        </w:rPr>
        <w:t>4</w:t>
      </w:r>
      <w:r>
        <w:rPr>
          <w:rFonts w:hint="eastAsia" w:ascii="宋体" w:hAnsi="宋体" w:cs="宋体"/>
          <w:color w:val="auto"/>
          <w:kern w:val="0"/>
          <w:sz w:val="28"/>
          <w:szCs w:val="28"/>
        </w:rPr>
        <w:t>）</w:t>
      </w:r>
      <w:r>
        <w:rPr>
          <w:rFonts w:hint="eastAsia" w:ascii="宋体" w:hAnsi="宋体" w:eastAsia="宋体" w:cs="宋体"/>
          <w:color w:val="auto"/>
          <w:kern w:val="0"/>
          <w:sz w:val="28"/>
          <w:szCs w:val="28"/>
        </w:rPr>
        <w:t>画眉</w:t>
      </w:r>
      <w:r>
        <w:rPr>
          <w:rFonts w:hint="eastAsia" w:ascii="宋体" w:hAnsi="宋体" w:cs="宋体"/>
          <w:color w:val="auto"/>
          <w:kern w:val="0"/>
          <w:sz w:val="28"/>
          <w:szCs w:val="28"/>
        </w:rPr>
        <w:t xml:space="preserve"> Garrulax canorus</w:t>
      </w:r>
    </w:p>
    <w:p>
      <w:pPr>
        <w:rPr>
          <w:rFonts w:eastAsia="黑体"/>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十八</w:t>
      </w:r>
      <w:r>
        <w:rPr>
          <w:rFonts w:hint="eastAsia" w:ascii="黑体" w:eastAsia="黑体" w:cs="宋体"/>
          <w:color w:val="auto"/>
          <w:kern w:val="0"/>
          <w:sz w:val="30"/>
          <w:szCs w:val="30"/>
        </w:rPr>
        <w:t>）莺科</w:t>
      </w:r>
      <w:r>
        <w:rPr>
          <w:rFonts w:hint="eastAsia"/>
          <w:b/>
          <w:bCs/>
          <w:color w:val="auto"/>
          <w:kern w:val="0"/>
          <w:sz w:val="30"/>
          <w:szCs w:val="30"/>
        </w:rPr>
        <w:t>Sylviidae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21</w:t>
      </w:r>
      <w:r>
        <w:rPr>
          <w:rFonts w:hint="eastAsia" w:ascii="黑体" w:eastAsia="黑体" w:cs="宋体"/>
          <w:color w:val="auto"/>
          <w:kern w:val="0"/>
          <w:sz w:val="30"/>
          <w:szCs w:val="30"/>
        </w:rPr>
        <w:t>、柳莺属</w:t>
      </w:r>
      <w:r>
        <w:rPr>
          <w:rFonts w:hint="eastAsia" w:eastAsia="黑体"/>
          <w:i/>
          <w:iCs/>
          <w:color w:val="auto"/>
          <w:sz w:val="30"/>
          <w:szCs w:val="30"/>
        </w:rPr>
        <w:t>Phylloscopus</w:t>
      </w:r>
    </w:p>
    <w:p>
      <w:pPr>
        <w:ind w:firstLine="700" w:firstLineChars="250"/>
        <w:rPr>
          <w:i/>
          <w:iCs/>
          <w:color w:val="auto"/>
          <w:szCs w:val="21"/>
        </w:rPr>
      </w:pPr>
      <w:r>
        <w:rPr>
          <w:rFonts w:hint="eastAsia"/>
          <w:iCs/>
          <w:color w:val="auto"/>
          <w:kern w:val="0"/>
          <w:sz w:val="28"/>
          <w:szCs w:val="28"/>
        </w:rPr>
        <w:t>（2</w:t>
      </w:r>
      <w:r>
        <w:rPr>
          <w:rFonts w:hint="eastAsia"/>
          <w:iCs/>
          <w:color w:val="auto"/>
          <w:kern w:val="0"/>
          <w:sz w:val="28"/>
          <w:szCs w:val="28"/>
          <w:lang w:val="en-US" w:eastAsia="zh-CN"/>
        </w:rPr>
        <w:t>5</w:t>
      </w:r>
      <w:r>
        <w:rPr>
          <w:rFonts w:hint="eastAsia"/>
          <w:iCs/>
          <w:color w:val="auto"/>
          <w:kern w:val="0"/>
          <w:sz w:val="28"/>
          <w:szCs w:val="28"/>
        </w:rPr>
        <w:t>）</w:t>
      </w:r>
      <w:r>
        <w:rPr>
          <w:rFonts w:hint="eastAsia" w:ascii="宋体" w:hAnsi="宋体" w:eastAsia="宋体" w:cs="宋体"/>
          <w:color w:val="auto"/>
          <w:kern w:val="0"/>
          <w:sz w:val="28"/>
          <w:szCs w:val="28"/>
        </w:rPr>
        <w:t>黄眉柳莺</w:t>
      </w:r>
      <w:r>
        <w:rPr>
          <w:rFonts w:hint="eastAsia"/>
          <w:i/>
          <w:iCs/>
          <w:color w:val="auto"/>
          <w:kern w:val="0"/>
          <w:sz w:val="28"/>
          <w:szCs w:val="28"/>
        </w:rPr>
        <w:t>Phylloscopus inornatus</w:t>
      </w:r>
    </w:p>
    <w:p>
      <w:pPr>
        <w:rPr>
          <w:rFonts w:eastAsia="黑体"/>
          <w:i/>
          <w:iCs/>
          <w:color w:val="auto"/>
          <w:szCs w:val="21"/>
        </w:rPr>
      </w:pPr>
      <w:r>
        <w:rPr>
          <w:rFonts w:hint="eastAsia" w:ascii="黑体" w:eastAsia="黑体" w:cs="宋体"/>
          <w:color w:val="auto"/>
          <w:kern w:val="0"/>
          <w:sz w:val="30"/>
          <w:szCs w:val="30"/>
        </w:rPr>
        <w:t>（</w:t>
      </w:r>
      <w:r>
        <w:rPr>
          <w:rFonts w:hint="eastAsia" w:ascii="黑体" w:eastAsia="黑体" w:cs="宋体"/>
          <w:color w:val="auto"/>
          <w:kern w:val="0"/>
          <w:sz w:val="30"/>
          <w:szCs w:val="30"/>
          <w:lang w:val="en-US" w:eastAsia="zh-CN"/>
        </w:rPr>
        <w:t>十九</w:t>
      </w:r>
      <w:r>
        <w:rPr>
          <w:rFonts w:hint="eastAsia" w:ascii="黑体" w:eastAsia="黑体" w:cs="宋体"/>
          <w:color w:val="auto"/>
          <w:kern w:val="0"/>
          <w:sz w:val="30"/>
          <w:szCs w:val="30"/>
        </w:rPr>
        <w:t>）雀科</w:t>
      </w:r>
      <w:r>
        <w:rPr>
          <w:rFonts w:hint="eastAsia"/>
          <w:b/>
          <w:bCs/>
          <w:color w:val="auto"/>
          <w:kern w:val="0"/>
          <w:sz w:val="30"/>
          <w:szCs w:val="30"/>
        </w:rPr>
        <w:t>Passeridae</w:t>
      </w:r>
    </w:p>
    <w:p>
      <w:pPr>
        <w:ind w:firstLine="750" w:firstLineChars="250"/>
        <w:rPr>
          <w:rFonts w:ascii="黑体" w:hAnsi="黑体" w:eastAsia="黑体" w:cs="黑体"/>
          <w:i/>
          <w:iCs/>
          <w:color w:val="auto"/>
          <w:szCs w:val="21"/>
        </w:rPr>
      </w:pPr>
      <w:r>
        <w:rPr>
          <w:rFonts w:hint="eastAsia" w:ascii="黑体" w:eastAsia="黑体" w:cs="宋体"/>
          <w:color w:val="auto"/>
          <w:kern w:val="0"/>
          <w:sz w:val="30"/>
          <w:szCs w:val="30"/>
          <w:lang w:val="en-US" w:eastAsia="zh-CN"/>
        </w:rPr>
        <w:t>22</w:t>
      </w:r>
      <w:r>
        <w:rPr>
          <w:rFonts w:hint="eastAsia" w:ascii="黑体" w:eastAsia="黑体" w:cs="宋体"/>
          <w:color w:val="auto"/>
          <w:kern w:val="0"/>
          <w:sz w:val="30"/>
          <w:szCs w:val="30"/>
        </w:rPr>
        <w:t xml:space="preserve">、麻雀属 </w:t>
      </w:r>
      <w:r>
        <w:rPr>
          <w:rFonts w:hint="eastAsia" w:eastAsia="黑体"/>
          <w:i/>
          <w:iCs/>
          <w:color w:val="auto"/>
          <w:sz w:val="30"/>
          <w:szCs w:val="30"/>
        </w:rPr>
        <w:t>Passer</w:t>
      </w:r>
    </w:p>
    <w:p>
      <w:pPr>
        <w:ind w:firstLine="700" w:firstLineChars="250"/>
        <w:rPr>
          <w:i/>
          <w:color w:val="auto"/>
          <w:kern w:val="0"/>
          <w:sz w:val="28"/>
          <w:szCs w:val="28"/>
        </w:rPr>
      </w:pPr>
      <w:r>
        <w:rPr>
          <w:rFonts w:hint="eastAsia" w:ascii="宋体" w:hAnsi="宋体" w:cs="宋体"/>
          <w:color w:val="auto"/>
          <w:kern w:val="0"/>
          <w:sz w:val="28"/>
          <w:szCs w:val="28"/>
        </w:rPr>
        <w:t>（2</w:t>
      </w:r>
      <w:r>
        <w:rPr>
          <w:rFonts w:hint="eastAsia" w:ascii="宋体" w:hAnsi="宋体" w:cs="宋体"/>
          <w:color w:val="auto"/>
          <w:kern w:val="0"/>
          <w:sz w:val="28"/>
          <w:szCs w:val="28"/>
          <w:lang w:val="en-US" w:eastAsia="zh-CN"/>
        </w:rPr>
        <w:t>6</w:t>
      </w:r>
      <w:r>
        <w:rPr>
          <w:rFonts w:hint="eastAsia" w:ascii="宋体" w:hAnsi="宋体" w:cs="宋体"/>
          <w:color w:val="auto"/>
          <w:kern w:val="0"/>
          <w:sz w:val="28"/>
          <w:szCs w:val="28"/>
        </w:rPr>
        <w:t>）</w:t>
      </w:r>
      <w:r>
        <w:rPr>
          <w:rFonts w:hint="eastAsia" w:ascii="宋体" w:hAnsi="宋体" w:eastAsia="宋体" w:cs="宋体"/>
          <w:color w:val="auto"/>
          <w:kern w:val="0"/>
          <w:sz w:val="28"/>
          <w:szCs w:val="28"/>
        </w:rPr>
        <w:t>麻雀</w:t>
      </w:r>
      <w:r>
        <w:rPr>
          <w:rFonts w:hint="eastAsia" w:ascii="宋体" w:hAnsi="宋体" w:cs="宋体"/>
          <w:color w:val="auto"/>
          <w:kern w:val="0"/>
          <w:sz w:val="28"/>
          <w:szCs w:val="28"/>
        </w:rPr>
        <w:t xml:space="preserve"> </w:t>
      </w:r>
      <w:r>
        <w:rPr>
          <w:i/>
          <w:color w:val="auto"/>
          <w:kern w:val="0"/>
          <w:sz w:val="28"/>
          <w:szCs w:val="28"/>
        </w:rPr>
        <w:t>Passer montanus</w:t>
      </w: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rPr>
          <w:rFonts w:ascii="黑体" w:eastAsia="黑体"/>
          <w:sz w:val="36"/>
          <w:szCs w:val="36"/>
        </w:rPr>
      </w:pPr>
    </w:p>
    <w:p>
      <w:pPr>
        <w:pStyle w:val="41"/>
        <w:keepNext w:val="0"/>
        <w:keepLines w:val="0"/>
        <w:pageBreakBefore/>
        <w:widowControl/>
        <w:adjustRightInd w:val="0"/>
        <w:snapToGrid w:val="0"/>
        <w:spacing w:before="240" w:beforeLines="100" w:after="0" w:afterLines="0" w:line="360" w:lineRule="auto"/>
        <w:ind w:firstLine="0" w:firstLineChars="0"/>
        <w:jc w:val="both"/>
        <w:rPr>
          <w:rFonts w:hint="eastAsia" w:cs="Times New Roman"/>
          <w:b w:val="0"/>
          <w:bCs w:val="0"/>
          <w:i w:val="0"/>
          <w:iCs/>
          <w:color w:val="auto"/>
          <w:kern w:val="44"/>
          <w:szCs w:val="44"/>
          <w:lang w:val="en-US" w:eastAsia="zh-CN"/>
        </w:rPr>
      </w:pPr>
      <w:bookmarkStart w:id="116" w:name="_Toc21107"/>
      <w:r>
        <w:rPr>
          <w:rFonts w:hint="eastAsia" w:cs="Times New Roman"/>
          <w:b w:val="0"/>
          <w:bCs w:val="0"/>
          <w:i w:val="0"/>
          <w:iCs/>
          <w:color w:val="auto"/>
          <w:kern w:val="44"/>
          <w:szCs w:val="44"/>
          <w:lang w:val="en-US" w:eastAsia="zh-CN"/>
        </w:rPr>
        <w:t>附录</w:t>
      </w:r>
      <w:r>
        <w:rPr>
          <w:rFonts w:hint="eastAsia" w:ascii="黑体" w:hAnsi="黑体" w:eastAsia="黑体" w:cs="黑体"/>
          <w:b w:val="0"/>
          <w:bCs w:val="0"/>
          <w:i w:val="0"/>
          <w:iCs/>
          <w:color w:val="auto"/>
          <w:kern w:val="44"/>
          <w:szCs w:val="44"/>
          <w:lang w:val="en-US" w:eastAsia="zh-CN"/>
        </w:rPr>
        <w:t>3</w:t>
      </w:r>
      <w:bookmarkEnd w:id="116"/>
    </w:p>
    <w:p>
      <w:pPr>
        <w:jc w:val="center"/>
        <w:rPr>
          <w:rFonts w:hint="eastAsia" w:ascii="黑体" w:hAnsi="黑体" w:eastAsia="黑体"/>
          <w:sz w:val="36"/>
          <w:szCs w:val="36"/>
        </w:rPr>
      </w:pPr>
      <w:r>
        <w:rPr>
          <w:rFonts w:hint="eastAsia" w:ascii="黑体" w:hAnsi="黑体" w:eastAsia="黑体"/>
          <w:sz w:val="36"/>
          <w:szCs w:val="36"/>
        </w:rPr>
        <w:t>台前县西凤省级森林公园主要</w:t>
      </w:r>
      <w:r>
        <w:rPr>
          <w:rFonts w:hint="eastAsia" w:ascii="黑体" w:hAnsi="黑体" w:eastAsia="黑体"/>
          <w:sz w:val="36"/>
          <w:szCs w:val="36"/>
          <w:lang w:val="en-US" w:eastAsia="zh-CN"/>
        </w:rPr>
        <w:t>鱼</w:t>
      </w:r>
      <w:r>
        <w:rPr>
          <w:rFonts w:hint="eastAsia" w:ascii="黑体" w:hAnsi="黑体" w:eastAsia="黑体"/>
          <w:sz w:val="36"/>
          <w:szCs w:val="36"/>
        </w:rPr>
        <w:t>类名录</w:t>
      </w:r>
    </w:p>
    <w:p>
      <w:pPr>
        <w:jc w:val="center"/>
        <w:rPr>
          <w:kern w:val="0"/>
          <w:szCs w:val="21"/>
          <w:lang w:val="pt-BR"/>
        </w:rPr>
      </w:pPr>
      <w:r>
        <w:rPr>
          <w:rFonts w:hint="eastAsia" w:ascii="黑体" w:eastAsia="黑体" w:cs="宋体"/>
          <w:kern w:val="0"/>
          <w:sz w:val="32"/>
          <w:szCs w:val="32"/>
          <w:lang w:val="en-US" w:eastAsia="zh-CN"/>
        </w:rPr>
        <w:t>一</w:t>
      </w:r>
      <w:r>
        <w:rPr>
          <w:rFonts w:hint="eastAsia" w:ascii="黑体" w:eastAsia="黑体" w:cs="宋体"/>
          <w:kern w:val="0"/>
          <w:sz w:val="32"/>
          <w:szCs w:val="32"/>
        </w:rPr>
        <w:t>、</w:t>
      </w:r>
      <w:r>
        <w:rPr>
          <w:rFonts w:hint="eastAsia" w:ascii="黑体" w:hAnsi="黑体" w:eastAsia="黑体" w:cs="宋体"/>
          <w:bCs/>
          <w:kern w:val="0"/>
          <w:sz w:val="32"/>
          <w:szCs w:val="32"/>
        </w:rPr>
        <w:t>鲤形目</w:t>
      </w:r>
      <w:r>
        <w:rPr>
          <w:rFonts w:hint="eastAsia" w:eastAsia="黑体"/>
          <w:b/>
          <w:sz w:val="32"/>
          <w:szCs w:val="32"/>
          <w:lang w:val="pt-BR"/>
        </w:rPr>
        <w:t>CYPRINIFORMES</w:t>
      </w:r>
    </w:p>
    <w:p>
      <w:pPr>
        <w:jc w:val="left"/>
        <w:rPr>
          <w:i/>
          <w:iCs/>
          <w:kern w:val="0"/>
          <w:szCs w:val="21"/>
          <w:lang w:val="pt-BR"/>
        </w:rPr>
      </w:pPr>
      <w:r>
        <w:rPr>
          <w:rFonts w:hint="eastAsia" w:ascii="黑体" w:eastAsia="黑体" w:cs="宋体"/>
          <w:kern w:val="0"/>
          <w:sz w:val="30"/>
          <w:szCs w:val="30"/>
          <w:lang w:val="pt-BR"/>
        </w:rPr>
        <w:t>（</w:t>
      </w:r>
      <w:r>
        <w:rPr>
          <w:rFonts w:hint="eastAsia" w:ascii="黑体" w:eastAsia="黑体" w:cs="宋体"/>
          <w:kern w:val="0"/>
          <w:sz w:val="30"/>
          <w:szCs w:val="30"/>
          <w:lang w:val="en-US" w:eastAsia="zh-CN"/>
        </w:rPr>
        <w:t>一</w:t>
      </w:r>
      <w:r>
        <w:rPr>
          <w:rFonts w:hint="eastAsia" w:ascii="黑体" w:eastAsia="黑体" w:cs="宋体"/>
          <w:kern w:val="0"/>
          <w:sz w:val="30"/>
          <w:szCs w:val="30"/>
          <w:lang w:val="pt-BR"/>
        </w:rPr>
        <w:t>）</w:t>
      </w:r>
      <w:r>
        <w:rPr>
          <w:rFonts w:hint="eastAsia" w:ascii="黑体" w:hAnsi="黑体" w:eastAsia="黑体" w:cs="黑体"/>
          <w:bCs/>
          <w:sz w:val="30"/>
          <w:szCs w:val="30"/>
        </w:rPr>
        <w:t>鲤科</w:t>
      </w:r>
      <w:r>
        <w:rPr>
          <w:rFonts w:hint="eastAsia"/>
          <w:b/>
          <w:sz w:val="30"/>
          <w:szCs w:val="30"/>
          <w:lang w:val="pt-BR"/>
        </w:rPr>
        <w:t>Cyprinidae</w:t>
      </w:r>
    </w:p>
    <w:p>
      <w:pPr>
        <w:ind w:firstLine="600" w:firstLineChars="200"/>
        <w:rPr>
          <w:rFonts w:ascii="宋体" w:hAnsi="宋体"/>
          <w:szCs w:val="21"/>
          <w:lang w:val="pt-BR"/>
        </w:rPr>
      </w:pPr>
      <w:r>
        <w:rPr>
          <w:rFonts w:hint="eastAsia" w:ascii="黑体" w:hAnsi="黑体" w:eastAsia="黑体" w:cs="黑体"/>
          <w:bCs/>
          <w:sz w:val="30"/>
          <w:szCs w:val="30"/>
          <w:lang w:val="pt-BR"/>
        </w:rPr>
        <w:t>1、</w:t>
      </w:r>
      <w:r>
        <w:rPr>
          <w:rFonts w:hint="eastAsia" w:ascii="黑体" w:hAnsi="黑体" w:eastAsia="黑体" w:cs="黑体"/>
          <w:bCs/>
          <w:sz w:val="30"/>
          <w:szCs w:val="30"/>
        </w:rPr>
        <w:t>似鳊属</w:t>
      </w:r>
      <w:r>
        <w:rPr>
          <w:rFonts w:eastAsia="黑体"/>
          <w:i/>
          <w:iCs/>
          <w:sz w:val="30"/>
          <w:szCs w:val="30"/>
          <w:shd w:val="clear" w:color="auto" w:fill="FFFFFF"/>
          <w:lang w:val="pt-BR"/>
        </w:rPr>
        <w:t>Pseudobrama</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1</w:t>
      </w:r>
      <w:r>
        <w:rPr>
          <w:rFonts w:hint="eastAsia" w:ascii="宋体" w:hAnsi="宋体" w:cs="宋体"/>
          <w:sz w:val="28"/>
          <w:szCs w:val="28"/>
          <w:lang w:val="pt-BR"/>
        </w:rPr>
        <w:t>）</w:t>
      </w:r>
      <w:r>
        <w:rPr>
          <w:rFonts w:hint="eastAsia" w:ascii="宋体" w:hAnsi="宋体" w:eastAsia="宋体" w:cs="宋体"/>
          <w:sz w:val="28"/>
          <w:szCs w:val="28"/>
        </w:rPr>
        <w:t>似鳊</w:t>
      </w:r>
      <w:r>
        <w:rPr>
          <w:rFonts w:hint="eastAsia"/>
          <w:sz w:val="28"/>
          <w:szCs w:val="28"/>
          <w:lang w:val="pt-BR"/>
        </w:rPr>
        <w:t xml:space="preserve"> </w:t>
      </w:r>
      <w:r>
        <w:rPr>
          <w:i/>
          <w:iCs/>
          <w:sz w:val="28"/>
          <w:szCs w:val="28"/>
          <w:lang w:val="pt-BR"/>
        </w:rPr>
        <w:t>Pseudobrama</w:t>
      </w:r>
      <w:r>
        <w:rPr>
          <w:rFonts w:hint="eastAsia"/>
          <w:i/>
          <w:iCs/>
          <w:sz w:val="28"/>
          <w:szCs w:val="28"/>
          <w:lang w:val="pt-BR"/>
        </w:rPr>
        <w:t xml:space="preserve"> simoni</w:t>
      </w:r>
    </w:p>
    <w:p>
      <w:pPr>
        <w:ind w:firstLine="600" w:firstLineChars="200"/>
        <w:rPr>
          <w:rFonts w:ascii="宋体" w:hAnsi="宋体"/>
          <w:szCs w:val="21"/>
          <w:lang w:val="pt-BR"/>
        </w:rPr>
      </w:pPr>
      <w:r>
        <w:rPr>
          <w:rFonts w:hint="eastAsia" w:ascii="黑体" w:hAnsi="黑体" w:eastAsia="黑体" w:cs="黑体"/>
          <w:bCs/>
          <w:sz w:val="30"/>
          <w:szCs w:val="30"/>
          <w:lang w:val="pt-BR"/>
        </w:rPr>
        <w:t>2、</w:t>
      </w:r>
      <w:r>
        <w:rPr>
          <w:rFonts w:hint="eastAsia" w:ascii="黑体" w:hAnsi="黑体" w:eastAsia="黑体" w:cs="黑体"/>
          <w:bCs/>
          <w:sz w:val="30"/>
          <w:szCs w:val="30"/>
        </w:rPr>
        <w:t>青鱼属</w:t>
      </w:r>
      <w:r>
        <w:rPr>
          <w:rFonts w:hint="eastAsia" w:eastAsia="黑体"/>
          <w:i/>
          <w:iCs/>
          <w:sz w:val="30"/>
          <w:szCs w:val="30"/>
          <w:shd w:val="clear" w:color="auto" w:fill="FFFFFF"/>
          <w:lang w:val="pt-BR"/>
        </w:rPr>
        <w:t xml:space="preserve">Mylopharyngodon </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2</w:t>
      </w:r>
      <w:r>
        <w:rPr>
          <w:rFonts w:hint="eastAsia" w:ascii="宋体" w:hAnsi="宋体" w:cs="宋体"/>
          <w:sz w:val="28"/>
          <w:szCs w:val="28"/>
          <w:lang w:val="pt-BR"/>
        </w:rPr>
        <w:t>）</w:t>
      </w:r>
      <w:r>
        <w:rPr>
          <w:rFonts w:hint="eastAsia" w:ascii="宋体" w:hAnsi="宋体" w:eastAsia="宋体" w:cs="宋体"/>
          <w:sz w:val="28"/>
          <w:szCs w:val="28"/>
        </w:rPr>
        <w:t>青鱼</w:t>
      </w:r>
      <w:r>
        <w:rPr>
          <w:rFonts w:hint="eastAsia"/>
          <w:i/>
          <w:iCs/>
          <w:sz w:val="28"/>
          <w:szCs w:val="28"/>
          <w:lang w:val="pt-BR"/>
        </w:rPr>
        <w:t>Mylopharyngodon piceus</w:t>
      </w:r>
    </w:p>
    <w:p>
      <w:pPr>
        <w:ind w:firstLine="600" w:firstLineChars="200"/>
        <w:rPr>
          <w:i/>
          <w:iCs/>
          <w:kern w:val="0"/>
          <w:szCs w:val="21"/>
          <w:lang w:val="pt-BR"/>
        </w:rPr>
      </w:pPr>
      <w:r>
        <w:rPr>
          <w:rFonts w:hint="eastAsia" w:ascii="黑体" w:hAnsi="黑体" w:eastAsia="黑体" w:cs="黑体"/>
          <w:bCs/>
          <w:sz w:val="30"/>
          <w:szCs w:val="30"/>
          <w:lang w:val="pt-BR"/>
        </w:rPr>
        <w:t>3、</w:t>
      </w:r>
      <w:r>
        <w:rPr>
          <w:rFonts w:hint="eastAsia" w:ascii="黑体" w:hAnsi="黑体" w:eastAsia="黑体" w:cs="黑体"/>
          <w:bCs/>
          <w:sz w:val="30"/>
          <w:szCs w:val="30"/>
        </w:rPr>
        <w:t>草鱼属</w:t>
      </w:r>
      <w:r>
        <w:rPr>
          <w:rFonts w:hint="eastAsia" w:eastAsia="黑体"/>
          <w:i/>
          <w:iCs/>
          <w:sz w:val="30"/>
          <w:szCs w:val="30"/>
          <w:shd w:val="clear" w:color="auto" w:fill="FFFFFF"/>
          <w:lang w:val="pt-BR"/>
        </w:rPr>
        <w:t>Ctenopharyngodon</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3</w:t>
      </w:r>
      <w:r>
        <w:rPr>
          <w:rFonts w:hint="eastAsia" w:ascii="宋体" w:hAnsi="宋体" w:cs="宋体"/>
          <w:sz w:val="28"/>
          <w:szCs w:val="28"/>
          <w:lang w:val="pt-BR"/>
        </w:rPr>
        <w:t>）</w:t>
      </w:r>
      <w:r>
        <w:rPr>
          <w:rFonts w:hint="eastAsia" w:ascii="宋体" w:hAnsi="宋体" w:eastAsia="宋体" w:cs="宋体"/>
          <w:sz w:val="28"/>
          <w:szCs w:val="28"/>
        </w:rPr>
        <w:t>草鱼</w:t>
      </w:r>
      <w:r>
        <w:rPr>
          <w:rFonts w:hint="eastAsia"/>
          <w:i/>
          <w:iCs/>
          <w:sz w:val="28"/>
          <w:szCs w:val="28"/>
          <w:lang w:val="pt-BR"/>
        </w:rPr>
        <w:t>Ctenopharyngodon idellus</w:t>
      </w:r>
    </w:p>
    <w:p>
      <w:pPr>
        <w:ind w:firstLine="600" w:firstLineChars="200"/>
        <w:rPr>
          <w:rFonts w:ascii="宋体" w:hAnsi="宋体" w:cs="宋体"/>
          <w:sz w:val="28"/>
          <w:szCs w:val="28"/>
          <w:lang w:val="pt-BR"/>
        </w:rPr>
      </w:pPr>
      <w:r>
        <w:rPr>
          <w:rFonts w:hint="eastAsia" w:ascii="黑体" w:hAnsi="黑体" w:eastAsia="黑体" w:cs="黑体"/>
          <w:bCs/>
          <w:sz w:val="30"/>
          <w:szCs w:val="30"/>
          <w:lang w:val="en-US" w:eastAsia="zh-CN"/>
        </w:rPr>
        <w:t>4</w:t>
      </w:r>
      <w:r>
        <w:rPr>
          <w:rFonts w:hint="eastAsia" w:ascii="黑体" w:hAnsi="黑体" w:eastAsia="黑体" w:cs="黑体"/>
          <w:bCs/>
          <w:sz w:val="30"/>
          <w:szCs w:val="30"/>
          <w:lang w:val="pt-BR"/>
        </w:rPr>
        <w:t>、</w:t>
      </w:r>
      <w:r>
        <w:rPr>
          <w:rFonts w:hint="eastAsia" w:ascii="黑体" w:hAnsi="黑体" w:eastAsia="黑体" w:cs="黑体"/>
          <w:bCs/>
          <w:sz w:val="30"/>
          <w:szCs w:val="30"/>
        </w:rPr>
        <w:t>马口鱼属</w:t>
      </w:r>
      <w:r>
        <w:rPr>
          <w:rFonts w:hint="eastAsia" w:eastAsia="黑体"/>
          <w:i/>
          <w:iCs/>
          <w:sz w:val="30"/>
          <w:szCs w:val="30"/>
          <w:shd w:val="clear" w:color="auto" w:fill="FFFFFF"/>
          <w:lang w:val="pt-BR"/>
        </w:rPr>
        <w:t xml:space="preserve">Opsariichthys </w:t>
      </w:r>
    </w:p>
    <w:p>
      <w:pPr>
        <w:ind w:firstLine="560" w:firstLineChars="200"/>
        <w:rPr>
          <w:iCs/>
          <w:sz w:val="28"/>
          <w:szCs w:val="28"/>
          <w:lang w:val="pt-BR"/>
        </w:rPr>
      </w:pPr>
      <w:r>
        <w:rPr>
          <w:rFonts w:hint="eastAsia" w:ascii="宋体" w:hAnsi="宋体" w:cs="宋体"/>
          <w:sz w:val="28"/>
          <w:szCs w:val="28"/>
          <w:lang w:val="pt-BR"/>
        </w:rPr>
        <w:t>（4）</w:t>
      </w:r>
      <w:r>
        <w:rPr>
          <w:rFonts w:hint="eastAsia" w:ascii="宋体" w:hAnsi="宋体" w:eastAsia="宋体" w:cs="宋体"/>
          <w:sz w:val="28"/>
          <w:szCs w:val="28"/>
        </w:rPr>
        <w:t>南方马口鱼</w:t>
      </w:r>
      <w:r>
        <w:rPr>
          <w:rFonts w:hint="eastAsia"/>
          <w:sz w:val="28"/>
          <w:szCs w:val="28"/>
          <w:lang w:val="pt-BR"/>
        </w:rPr>
        <w:t xml:space="preserve"> </w:t>
      </w:r>
      <w:r>
        <w:rPr>
          <w:rFonts w:hint="eastAsia"/>
          <w:i/>
          <w:iCs/>
          <w:sz w:val="28"/>
          <w:szCs w:val="28"/>
          <w:lang w:val="pt-BR"/>
        </w:rPr>
        <w:t>Opsariichthys uncirostris bidens</w:t>
      </w:r>
      <w:r>
        <w:rPr>
          <w:rFonts w:hint="eastAsia"/>
          <w:iCs/>
          <w:sz w:val="28"/>
          <w:szCs w:val="28"/>
          <w:lang w:val="pt-BR"/>
        </w:rPr>
        <w:t xml:space="preserve"> </w:t>
      </w:r>
    </w:p>
    <w:p>
      <w:pPr>
        <w:ind w:firstLine="600" w:firstLineChars="200"/>
        <w:rPr>
          <w:i/>
          <w:iCs/>
          <w:kern w:val="0"/>
          <w:szCs w:val="21"/>
          <w:lang w:val="pt-BR"/>
        </w:rPr>
      </w:pPr>
      <w:r>
        <w:rPr>
          <w:rFonts w:hint="eastAsia" w:ascii="黑体" w:hAnsi="黑体" w:eastAsia="黑体" w:cs="黑体"/>
          <w:bCs/>
          <w:sz w:val="30"/>
          <w:szCs w:val="30"/>
          <w:lang w:val="en-US" w:eastAsia="zh-CN"/>
        </w:rPr>
        <w:t>5</w:t>
      </w:r>
      <w:r>
        <w:rPr>
          <w:rFonts w:hint="eastAsia" w:ascii="黑体" w:hAnsi="黑体" w:eastAsia="黑体" w:cs="黑体"/>
          <w:bCs/>
          <w:sz w:val="30"/>
          <w:szCs w:val="30"/>
          <w:lang w:val="pt-BR"/>
        </w:rPr>
        <w:t>、</w:t>
      </w:r>
      <w:r>
        <w:rPr>
          <w:rFonts w:hint="eastAsia" w:ascii="黑体" w:hAnsi="黑体" w:eastAsia="黑体" w:cs="黑体"/>
          <w:bCs/>
          <w:sz w:val="30"/>
          <w:szCs w:val="30"/>
        </w:rPr>
        <w:t>餐属</w:t>
      </w:r>
      <w:r>
        <w:rPr>
          <w:rFonts w:hint="eastAsia" w:eastAsia="黑体"/>
          <w:i/>
          <w:iCs/>
          <w:sz w:val="30"/>
          <w:szCs w:val="30"/>
          <w:shd w:val="clear" w:color="auto" w:fill="FFFFFF"/>
          <w:lang w:val="pt-BR"/>
        </w:rPr>
        <w:t>Hemiculter</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5</w:t>
      </w:r>
      <w:r>
        <w:rPr>
          <w:rFonts w:hint="eastAsia" w:ascii="宋体" w:hAnsi="宋体" w:cs="宋体"/>
          <w:sz w:val="28"/>
          <w:szCs w:val="28"/>
          <w:lang w:val="pt-BR"/>
        </w:rPr>
        <w:t>）</w:t>
      </w:r>
      <w:r>
        <w:rPr>
          <w:rFonts w:hint="eastAsia" w:ascii="宋体" w:hAnsi="宋体" w:eastAsia="宋体" w:cs="宋体"/>
          <w:sz w:val="28"/>
          <w:szCs w:val="28"/>
        </w:rPr>
        <w:t>贝氏餐</w:t>
      </w:r>
      <w:r>
        <w:rPr>
          <w:rFonts w:hint="eastAsia"/>
          <w:i/>
          <w:iCs/>
          <w:sz w:val="28"/>
          <w:szCs w:val="28"/>
          <w:lang w:val="pt-BR"/>
        </w:rPr>
        <w:t>Hemiculter bleekeri</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6</w:t>
      </w:r>
      <w:r>
        <w:rPr>
          <w:rFonts w:hint="eastAsia" w:ascii="宋体" w:hAnsi="宋体" w:cs="宋体"/>
          <w:sz w:val="28"/>
          <w:szCs w:val="28"/>
          <w:lang w:val="pt-BR"/>
        </w:rPr>
        <w:t>）</w:t>
      </w:r>
      <w:r>
        <w:rPr>
          <w:rFonts w:hint="eastAsia" w:ascii="宋体" w:hAnsi="宋体" w:eastAsia="宋体" w:cs="宋体"/>
          <w:sz w:val="28"/>
          <w:szCs w:val="28"/>
        </w:rPr>
        <w:t>餐</w:t>
      </w:r>
      <w:r>
        <w:rPr>
          <w:rFonts w:hint="eastAsia"/>
          <w:i/>
          <w:iCs/>
          <w:sz w:val="28"/>
          <w:szCs w:val="28"/>
          <w:lang w:val="pt-BR"/>
        </w:rPr>
        <w:t>Hemiculter leucisculus</w:t>
      </w:r>
    </w:p>
    <w:p>
      <w:pPr>
        <w:ind w:firstLine="600" w:firstLineChars="200"/>
        <w:rPr>
          <w:iCs/>
          <w:kern w:val="0"/>
          <w:szCs w:val="21"/>
          <w:lang w:val="pt-BR"/>
        </w:rPr>
      </w:pPr>
      <w:r>
        <w:rPr>
          <w:rFonts w:hint="eastAsia" w:ascii="黑体" w:hAnsi="黑体" w:eastAsia="黑体" w:cs="黑体"/>
          <w:bCs/>
          <w:sz w:val="30"/>
          <w:szCs w:val="30"/>
          <w:lang w:val="en-US" w:eastAsia="zh-CN"/>
        </w:rPr>
        <w:t>6</w:t>
      </w:r>
      <w:r>
        <w:rPr>
          <w:rFonts w:hint="eastAsia" w:ascii="黑体" w:hAnsi="黑体" w:eastAsia="黑体" w:cs="黑体"/>
          <w:bCs/>
          <w:sz w:val="30"/>
          <w:szCs w:val="30"/>
          <w:lang w:val="pt-BR"/>
        </w:rPr>
        <w:t>、</w:t>
      </w:r>
      <w:r>
        <w:rPr>
          <w:rFonts w:hint="eastAsia" w:ascii="黑体" w:hAnsi="黑体" w:eastAsia="黑体" w:cs="黑体"/>
          <w:bCs/>
          <w:sz w:val="30"/>
          <w:szCs w:val="30"/>
        </w:rPr>
        <w:t>鳊属</w:t>
      </w:r>
      <w:r>
        <w:rPr>
          <w:rFonts w:hint="eastAsia" w:eastAsia="黑体"/>
          <w:i/>
          <w:iCs/>
          <w:sz w:val="30"/>
          <w:szCs w:val="30"/>
          <w:shd w:val="clear" w:color="auto" w:fill="FFFFFF"/>
          <w:lang w:val="pt-BR"/>
        </w:rPr>
        <w:t>Parabramis</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7</w:t>
      </w:r>
      <w:r>
        <w:rPr>
          <w:rFonts w:hint="eastAsia" w:ascii="宋体" w:hAnsi="宋体" w:cs="宋体"/>
          <w:sz w:val="28"/>
          <w:szCs w:val="28"/>
          <w:lang w:val="pt-BR"/>
        </w:rPr>
        <w:t>）</w:t>
      </w:r>
      <w:r>
        <w:rPr>
          <w:rFonts w:hint="eastAsia" w:ascii="宋体" w:hAnsi="宋体" w:eastAsia="宋体" w:cs="宋体"/>
          <w:sz w:val="28"/>
          <w:szCs w:val="28"/>
        </w:rPr>
        <w:t>鳊</w:t>
      </w:r>
      <w:r>
        <w:rPr>
          <w:rFonts w:hint="eastAsia"/>
          <w:i/>
          <w:iCs/>
          <w:sz w:val="28"/>
          <w:szCs w:val="28"/>
          <w:lang w:val="pt-BR"/>
        </w:rPr>
        <w:t>Parabramis pekinensis</w:t>
      </w:r>
    </w:p>
    <w:p>
      <w:pPr>
        <w:ind w:firstLine="600" w:firstLineChars="200"/>
        <w:rPr>
          <w:rFonts w:ascii="黑体" w:hAnsi="黑体" w:eastAsia="黑体" w:cs="黑体"/>
          <w:i/>
          <w:iCs/>
          <w:kern w:val="0"/>
          <w:szCs w:val="21"/>
          <w:lang w:val="pt-BR"/>
        </w:rPr>
      </w:pPr>
      <w:r>
        <w:rPr>
          <w:rFonts w:hint="eastAsia" w:ascii="黑体" w:hAnsi="黑体" w:eastAsia="黑体" w:cs="黑体"/>
          <w:bCs/>
          <w:sz w:val="30"/>
          <w:szCs w:val="30"/>
          <w:lang w:val="en-US" w:eastAsia="zh-CN"/>
        </w:rPr>
        <w:t>7</w:t>
      </w:r>
      <w:r>
        <w:rPr>
          <w:rFonts w:hint="eastAsia" w:ascii="黑体" w:hAnsi="黑体" w:eastAsia="黑体" w:cs="黑体"/>
          <w:bCs/>
          <w:sz w:val="30"/>
          <w:szCs w:val="30"/>
          <w:lang w:val="pt-BR"/>
        </w:rPr>
        <w:t>、</w:t>
      </w:r>
      <w:r>
        <w:rPr>
          <w:rFonts w:hint="eastAsia" w:ascii="黑体" w:hAnsi="黑体" w:eastAsia="黑体" w:cs="黑体"/>
          <w:bCs/>
          <w:sz w:val="30"/>
          <w:szCs w:val="30"/>
        </w:rPr>
        <w:t>鲂属</w:t>
      </w:r>
      <w:r>
        <w:rPr>
          <w:rFonts w:hint="eastAsia" w:eastAsia="黑体"/>
          <w:i/>
          <w:iCs/>
          <w:sz w:val="30"/>
          <w:szCs w:val="30"/>
          <w:shd w:val="clear" w:color="auto" w:fill="FFFFFF"/>
          <w:lang w:val="pt-BR"/>
        </w:rPr>
        <w:t>Megalobrama</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8</w:t>
      </w:r>
      <w:r>
        <w:rPr>
          <w:rFonts w:hint="eastAsia" w:ascii="宋体" w:hAnsi="宋体" w:cs="宋体"/>
          <w:sz w:val="28"/>
          <w:szCs w:val="28"/>
          <w:lang w:val="pt-BR"/>
        </w:rPr>
        <w:t>）</w:t>
      </w:r>
      <w:r>
        <w:rPr>
          <w:rFonts w:hint="eastAsia" w:ascii="宋体" w:hAnsi="宋体" w:eastAsia="宋体" w:cs="宋体"/>
          <w:sz w:val="28"/>
          <w:szCs w:val="28"/>
        </w:rPr>
        <w:t>鲂</w:t>
      </w:r>
      <w:r>
        <w:rPr>
          <w:rFonts w:hint="eastAsia"/>
          <w:i/>
          <w:iCs/>
          <w:sz w:val="28"/>
          <w:szCs w:val="28"/>
          <w:lang w:val="pt-BR"/>
        </w:rPr>
        <w:t>Megalobrama skolkovii</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9</w:t>
      </w:r>
      <w:r>
        <w:rPr>
          <w:rFonts w:hint="eastAsia" w:ascii="宋体" w:hAnsi="宋体" w:cs="宋体"/>
          <w:sz w:val="28"/>
          <w:szCs w:val="28"/>
          <w:lang w:val="pt-BR"/>
        </w:rPr>
        <w:t>）</w:t>
      </w:r>
      <w:r>
        <w:rPr>
          <w:rFonts w:hint="eastAsia" w:ascii="宋体" w:hAnsi="宋体" w:eastAsia="宋体" w:cs="宋体"/>
          <w:sz w:val="28"/>
          <w:szCs w:val="28"/>
        </w:rPr>
        <w:t>团头鲂</w:t>
      </w:r>
      <w:r>
        <w:rPr>
          <w:rFonts w:hint="eastAsia"/>
          <w:i/>
          <w:iCs/>
          <w:sz w:val="28"/>
          <w:szCs w:val="28"/>
          <w:lang w:val="pt-BR"/>
        </w:rPr>
        <w:t>Megalobrama amblycephala</w:t>
      </w:r>
    </w:p>
    <w:p>
      <w:pPr>
        <w:ind w:firstLine="600" w:firstLineChars="200"/>
        <w:rPr>
          <w:rFonts w:ascii="黑体" w:hAnsi="黑体" w:eastAsia="黑体" w:cs="黑体"/>
          <w:szCs w:val="21"/>
          <w:lang w:val="pt-BR"/>
        </w:rPr>
      </w:pPr>
      <w:r>
        <w:rPr>
          <w:rFonts w:hint="eastAsia" w:ascii="黑体" w:hAnsi="黑体" w:eastAsia="黑体" w:cs="黑体"/>
          <w:bCs/>
          <w:sz w:val="30"/>
          <w:szCs w:val="30"/>
          <w:lang w:val="en-US" w:eastAsia="zh-CN"/>
        </w:rPr>
        <w:t>8</w:t>
      </w:r>
      <w:r>
        <w:rPr>
          <w:rFonts w:hint="eastAsia" w:ascii="黑体" w:hAnsi="黑体" w:eastAsia="黑体" w:cs="黑体"/>
          <w:bCs/>
          <w:sz w:val="30"/>
          <w:szCs w:val="30"/>
          <w:lang w:val="pt-BR"/>
        </w:rPr>
        <w:t>、</w:t>
      </w:r>
      <w:r>
        <w:rPr>
          <w:rFonts w:hint="eastAsia" w:ascii="黑体" w:hAnsi="黑体" w:eastAsia="黑体" w:cs="黑体"/>
          <w:bCs/>
          <w:sz w:val="30"/>
          <w:szCs w:val="30"/>
        </w:rPr>
        <w:t>鳙属</w:t>
      </w:r>
      <w:r>
        <w:rPr>
          <w:rFonts w:hint="eastAsia" w:eastAsia="黑体"/>
          <w:i/>
          <w:iCs/>
          <w:sz w:val="30"/>
          <w:szCs w:val="30"/>
          <w:shd w:val="clear" w:color="auto" w:fill="FFFFFF"/>
          <w:lang w:val="pt-BR"/>
        </w:rPr>
        <w:t>Aristichthys</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10</w:t>
      </w:r>
      <w:r>
        <w:rPr>
          <w:rFonts w:hint="eastAsia" w:ascii="宋体" w:hAnsi="宋体" w:cs="宋体"/>
          <w:sz w:val="28"/>
          <w:szCs w:val="28"/>
          <w:lang w:val="pt-BR"/>
        </w:rPr>
        <w:t>）</w:t>
      </w:r>
      <w:r>
        <w:rPr>
          <w:rFonts w:hint="eastAsia" w:ascii="宋体" w:hAnsi="宋体" w:eastAsia="宋体" w:cs="宋体"/>
          <w:sz w:val="28"/>
          <w:szCs w:val="28"/>
        </w:rPr>
        <w:t>鳙</w:t>
      </w:r>
      <w:r>
        <w:rPr>
          <w:rFonts w:hint="eastAsia"/>
          <w:i/>
          <w:iCs/>
          <w:sz w:val="28"/>
          <w:szCs w:val="28"/>
          <w:lang w:val="pt-BR"/>
        </w:rPr>
        <w:t>Aristichthys nobilis</w:t>
      </w:r>
    </w:p>
    <w:p>
      <w:pPr>
        <w:ind w:firstLine="600" w:firstLineChars="200"/>
        <w:rPr>
          <w:rFonts w:ascii="黑体" w:hAnsi="黑体" w:eastAsia="黑体" w:cs="黑体"/>
          <w:i/>
          <w:iCs/>
          <w:kern w:val="0"/>
          <w:szCs w:val="21"/>
          <w:lang w:val="pt-BR"/>
        </w:rPr>
      </w:pPr>
      <w:r>
        <w:rPr>
          <w:rFonts w:hint="eastAsia" w:ascii="黑体" w:hAnsi="黑体" w:eastAsia="黑体" w:cs="黑体"/>
          <w:bCs/>
          <w:sz w:val="30"/>
          <w:szCs w:val="30"/>
          <w:lang w:val="en-US" w:eastAsia="zh-CN"/>
        </w:rPr>
        <w:t>9</w:t>
      </w:r>
      <w:r>
        <w:rPr>
          <w:rFonts w:hint="eastAsia" w:ascii="黑体" w:hAnsi="黑体" w:eastAsia="黑体" w:cs="黑体"/>
          <w:bCs/>
          <w:sz w:val="30"/>
          <w:szCs w:val="30"/>
          <w:lang w:val="pt-BR"/>
        </w:rPr>
        <w:t>、</w:t>
      </w:r>
      <w:r>
        <w:rPr>
          <w:rFonts w:hint="eastAsia" w:ascii="黑体" w:hAnsi="黑体" w:eastAsia="黑体" w:cs="黑体"/>
          <w:bCs/>
          <w:sz w:val="30"/>
          <w:szCs w:val="30"/>
        </w:rPr>
        <w:t>鲫属</w:t>
      </w:r>
      <w:r>
        <w:rPr>
          <w:rFonts w:hint="eastAsia" w:eastAsia="黑体"/>
          <w:i/>
          <w:iCs/>
          <w:sz w:val="30"/>
          <w:szCs w:val="30"/>
          <w:shd w:val="clear" w:color="auto" w:fill="FFFFFF"/>
          <w:lang w:val="pt-BR"/>
        </w:rPr>
        <w:t>Carassius</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11</w:t>
      </w:r>
      <w:r>
        <w:rPr>
          <w:rFonts w:hint="eastAsia" w:ascii="宋体" w:hAnsi="宋体" w:cs="宋体"/>
          <w:sz w:val="28"/>
          <w:szCs w:val="28"/>
          <w:lang w:val="pt-BR"/>
        </w:rPr>
        <w:t>）</w:t>
      </w:r>
      <w:r>
        <w:rPr>
          <w:rFonts w:hint="eastAsia" w:ascii="宋体" w:hAnsi="宋体" w:eastAsia="宋体" w:cs="宋体"/>
          <w:sz w:val="28"/>
          <w:szCs w:val="28"/>
        </w:rPr>
        <w:t>鲫</w:t>
      </w:r>
      <w:r>
        <w:rPr>
          <w:rFonts w:hint="eastAsia"/>
          <w:i/>
          <w:iCs/>
          <w:sz w:val="28"/>
          <w:szCs w:val="28"/>
          <w:lang w:val="pt-BR"/>
        </w:rPr>
        <w:t>Carassius auratus</w:t>
      </w:r>
    </w:p>
    <w:p>
      <w:pPr>
        <w:ind w:firstLine="600" w:firstLineChars="200"/>
        <w:rPr>
          <w:rFonts w:ascii="黑体" w:hAnsi="黑体" w:eastAsia="黑体" w:cs="黑体"/>
          <w:i/>
          <w:iCs/>
          <w:kern w:val="0"/>
          <w:szCs w:val="21"/>
          <w:lang w:val="pt-BR"/>
        </w:rPr>
      </w:pPr>
      <w:r>
        <w:rPr>
          <w:rFonts w:hint="eastAsia" w:ascii="黑体" w:hAnsi="黑体" w:eastAsia="黑体" w:cs="黑体"/>
          <w:bCs/>
          <w:sz w:val="30"/>
          <w:szCs w:val="30"/>
          <w:lang w:val="en-US" w:eastAsia="zh-CN"/>
        </w:rPr>
        <w:t>10</w:t>
      </w:r>
      <w:r>
        <w:rPr>
          <w:rFonts w:hint="eastAsia" w:ascii="黑体" w:hAnsi="黑体" w:eastAsia="黑体" w:cs="黑体"/>
          <w:bCs/>
          <w:sz w:val="30"/>
          <w:szCs w:val="30"/>
          <w:lang w:val="pt-BR"/>
        </w:rPr>
        <w:t>、</w:t>
      </w:r>
      <w:r>
        <w:rPr>
          <w:rFonts w:hint="eastAsia" w:ascii="黑体" w:hAnsi="黑体" w:eastAsia="黑体" w:cs="黑体"/>
          <w:bCs/>
          <w:sz w:val="30"/>
          <w:szCs w:val="30"/>
        </w:rPr>
        <w:t>䱻属</w:t>
      </w:r>
      <w:r>
        <w:rPr>
          <w:rFonts w:hint="eastAsia" w:eastAsia="黑体"/>
          <w:i/>
          <w:iCs/>
          <w:sz w:val="30"/>
          <w:szCs w:val="30"/>
          <w:shd w:val="clear" w:color="auto" w:fill="FFFFFF"/>
          <w:lang w:val="pt-BR"/>
        </w:rPr>
        <w:t>Hemibarbbus</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12</w:t>
      </w:r>
      <w:r>
        <w:rPr>
          <w:rFonts w:hint="eastAsia" w:ascii="宋体" w:hAnsi="宋体" w:cs="宋体"/>
          <w:sz w:val="28"/>
          <w:szCs w:val="28"/>
          <w:lang w:val="pt-BR"/>
        </w:rPr>
        <w:t>）</w:t>
      </w:r>
      <w:r>
        <w:rPr>
          <w:rFonts w:hint="eastAsia" w:ascii="宋体" w:hAnsi="宋体" w:eastAsia="宋体" w:cs="宋体"/>
          <w:sz w:val="28"/>
          <w:szCs w:val="28"/>
        </w:rPr>
        <w:t>花䱻</w:t>
      </w:r>
      <w:r>
        <w:rPr>
          <w:rFonts w:hint="eastAsia"/>
          <w:sz w:val="28"/>
          <w:szCs w:val="28"/>
          <w:lang w:val="pt-BR"/>
        </w:rPr>
        <w:t xml:space="preserve"> </w:t>
      </w:r>
      <w:r>
        <w:rPr>
          <w:rFonts w:hint="eastAsia"/>
          <w:i/>
          <w:iCs/>
          <w:sz w:val="28"/>
          <w:szCs w:val="28"/>
          <w:lang w:val="pt-BR"/>
        </w:rPr>
        <w:t>Hemibarbbus maculatus</w:t>
      </w:r>
    </w:p>
    <w:p>
      <w:pPr>
        <w:jc w:val="left"/>
        <w:rPr>
          <w:i/>
          <w:iCs/>
          <w:kern w:val="0"/>
          <w:szCs w:val="21"/>
          <w:lang w:val="pt-BR"/>
        </w:rPr>
      </w:pPr>
      <w:r>
        <w:rPr>
          <w:rFonts w:hint="eastAsia" w:ascii="黑体" w:hAnsi="黑体" w:eastAsia="黑体" w:cs="黑体"/>
          <w:bCs/>
          <w:sz w:val="30"/>
          <w:szCs w:val="30"/>
          <w:lang w:val="pt-BR"/>
        </w:rPr>
        <w:t>（</w:t>
      </w:r>
      <w:r>
        <w:rPr>
          <w:rFonts w:hint="eastAsia" w:ascii="黑体" w:hAnsi="黑体" w:eastAsia="黑体" w:cs="黑体"/>
          <w:bCs/>
          <w:sz w:val="30"/>
          <w:szCs w:val="30"/>
          <w:lang w:val="en-US" w:eastAsia="zh-CN"/>
        </w:rPr>
        <w:t>二</w:t>
      </w:r>
      <w:r>
        <w:rPr>
          <w:rFonts w:hint="eastAsia" w:ascii="黑体" w:hAnsi="黑体" w:eastAsia="黑体" w:cs="黑体"/>
          <w:bCs/>
          <w:sz w:val="30"/>
          <w:szCs w:val="30"/>
          <w:lang w:val="pt-BR"/>
        </w:rPr>
        <w:t>）</w:t>
      </w:r>
      <w:r>
        <w:rPr>
          <w:rFonts w:hint="eastAsia" w:ascii="黑体" w:hAnsi="黑体" w:eastAsia="黑体" w:cs="黑体"/>
          <w:bCs/>
          <w:sz w:val="30"/>
          <w:szCs w:val="30"/>
        </w:rPr>
        <w:t>鳅科</w:t>
      </w:r>
      <w:r>
        <w:rPr>
          <w:rFonts w:hint="eastAsia"/>
          <w:b/>
          <w:sz w:val="30"/>
          <w:szCs w:val="30"/>
          <w:lang w:val="pt-BR"/>
        </w:rPr>
        <w:t>Cobitidae</w:t>
      </w:r>
    </w:p>
    <w:p>
      <w:pPr>
        <w:ind w:firstLine="600" w:firstLineChars="200"/>
        <w:rPr>
          <w:rFonts w:ascii="黑体" w:hAnsi="黑体" w:eastAsia="黑体" w:cs="黑体"/>
          <w:i/>
          <w:iCs/>
          <w:kern w:val="0"/>
          <w:szCs w:val="21"/>
          <w:lang w:val="pt-BR"/>
        </w:rPr>
      </w:pPr>
      <w:r>
        <w:rPr>
          <w:rFonts w:hint="eastAsia" w:ascii="黑体" w:hAnsi="黑体" w:eastAsia="黑体" w:cs="黑体"/>
          <w:bCs/>
          <w:sz w:val="30"/>
          <w:szCs w:val="30"/>
          <w:lang w:val="en-US" w:eastAsia="zh-CN"/>
        </w:rPr>
        <w:t>11</w:t>
      </w:r>
      <w:r>
        <w:rPr>
          <w:rFonts w:hint="eastAsia" w:ascii="黑体" w:hAnsi="黑体" w:eastAsia="黑体" w:cs="黑体"/>
          <w:bCs/>
          <w:sz w:val="30"/>
          <w:szCs w:val="30"/>
          <w:lang w:val="pt-BR"/>
        </w:rPr>
        <w:t>、</w:t>
      </w:r>
      <w:r>
        <w:rPr>
          <w:rFonts w:hint="eastAsia" w:ascii="黑体" w:hAnsi="黑体" w:eastAsia="黑体" w:cs="黑体"/>
          <w:bCs/>
          <w:sz w:val="30"/>
          <w:szCs w:val="30"/>
        </w:rPr>
        <w:t>泥鳅属</w:t>
      </w:r>
      <w:r>
        <w:rPr>
          <w:rFonts w:hint="eastAsia" w:eastAsia="黑体"/>
          <w:i/>
          <w:iCs/>
          <w:sz w:val="30"/>
          <w:szCs w:val="30"/>
          <w:shd w:val="clear" w:color="auto" w:fill="FFFFFF"/>
          <w:lang w:val="pt-BR"/>
        </w:rPr>
        <w:t xml:space="preserve">Misgurnus </w:t>
      </w:r>
    </w:p>
    <w:p>
      <w:pPr>
        <w:ind w:firstLine="560" w:firstLineChars="200"/>
        <w:rPr>
          <w:i/>
          <w:iCs/>
          <w:sz w:val="28"/>
          <w:szCs w:val="28"/>
          <w:lang w:val="pt-BR"/>
        </w:rPr>
      </w:pPr>
      <w:r>
        <w:rPr>
          <w:rFonts w:hint="eastAsia" w:ascii="宋体" w:hAnsi="宋体" w:cs="宋体"/>
          <w:sz w:val="28"/>
          <w:szCs w:val="28"/>
          <w:lang w:val="pt-BR"/>
        </w:rPr>
        <w:t>（</w:t>
      </w:r>
      <w:r>
        <w:rPr>
          <w:rFonts w:hint="eastAsia" w:ascii="宋体" w:hAnsi="宋体" w:cs="宋体"/>
          <w:sz w:val="28"/>
          <w:szCs w:val="28"/>
          <w:lang w:val="en-US" w:eastAsia="zh-CN"/>
        </w:rPr>
        <w:t>13</w:t>
      </w:r>
      <w:r>
        <w:rPr>
          <w:rFonts w:hint="eastAsia" w:ascii="宋体" w:hAnsi="宋体" w:cs="宋体"/>
          <w:sz w:val="28"/>
          <w:szCs w:val="28"/>
          <w:lang w:val="pt-BR"/>
        </w:rPr>
        <w:t>）</w:t>
      </w:r>
      <w:r>
        <w:rPr>
          <w:rFonts w:hint="eastAsia" w:ascii="宋体" w:hAnsi="宋体" w:eastAsia="宋体" w:cs="宋体"/>
          <w:sz w:val="28"/>
          <w:szCs w:val="28"/>
        </w:rPr>
        <w:t>泥鳅</w:t>
      </w:r>
      <w:r>
        <w:rPr>
          <w:rFonts w:hint="eastAsia"/>
          <w:i/>
          <w:iCs/>
          <w:sz w:val="28"/>
          <w:szCs w:val="28"/>
          <w:lang w:val="pt-BR"/>
        </w:rPr>
        <w:t>Misgurnus anguillicaudatus</w:t>
      </w:r>
    </w:p>
    <w:p>
      <w:pPr>
        <w:ind w:firstLine="600" w:firstLineChars="200"/>
        <w:rPr>
          <w:rFonts w:ascii="黑体" w:hAnsi="黑体" w:eastAsia="黑体" w:cs="黑体"/>
          <w:szCs w:val="21"/>
          <w:lang w:val="pt-BR"/>
        </w:rPr>
      </w:pPr>
      <w:r>
        <w:rPr>
          <w:rFonts w:hint="eastAsia" w:ascii="黑体" w:hAnsi="黑体" w:eastAsia="黑体" w:cs="黑体"/>
          <w:bCs/>
          <w:sz w:val="30"/>
          <w:szCs w:val="30"/>
          <w:lang w:val="en-US" w:eastAsia="zh-CN"/>
        </w:rPr>
        <w:t>12</w:t>
      </w:r>
      <w:r>
        <w:rPr>
          <w:rFonts w:hint="eastAsia" w:ascii="黑体" w:hAnsi="黑体" w:eastAsia="黑体" w:cs="黑体"/>
          <w:bCs/>
          <w:sz w:val="30"/>
          <w:szCs w:val="30"/>
          <w:lang w:val="pt-BR"/>
        </w:rPr>
        <w:t>、</w:t>
      </w:r>
      <w:r>
        <w:rPr>
          <w:rFonts w:hint="eastAsia" w:ascii="黑体" w:hAnsi="黑体" w:eastAsia="黑体" w:cs="黑体"/>
          <w:bCs/>
          <w:sz w:val="30"/>
          <w:szCs w:val="30"/>
        </w:rPr>
        <w:t>副泥鳅属</w:t>
      </w:r>
      <w:r>
        <w:rPr>
          <w:rFonts w:hint="eastAsia" w:eastAsia="黑体"/>
          <w:i/>
          <w:iCs/>
          <w:sz w:val="30"/>
          <w:szCs w:val="30"/>
          <w:shd w:val="clear" w:color="auto" w:fill="FFFFFF"/>
          <w:lang w:val="pt-BR"/>
        </w:rPr>
        <w:t>Paramisgurnus</w:t>
      </w:r>
    </w:p>
    <w:p>
      <w:pPr>
        <w:ind w:firstLine="560" w:firstLineChars="200"/>
        <w:rPr>
          <w:rFonts w:ascii="宋体" w:hAnsi="宋体"/>
          <w:szCs w:val="21"/>
          <w:lang w:val="pt-BR"/>
        </w:rPr>
      </w:pPr>
      <w:r>
        <w:rPr>
          <w:rFonts w:hint="eastAsia" w:ascii="宋体" w:hAnsi="宋体" w:cs="宋体"/>
          <w:sz w:val="28"/>
          <w:szCs w:val="28"/>
          <w:lang w:val="pt-BR"/>
        </w:rPr>
        <w:t>（</w:t>
      </w:r>
      <w:r>
        <w:rPr>
          <w:rFonts w:hint="eastAsia" w:ascii="宋体" w:hAnsi="宋体" w:cs="宋体"/>
          <w:sz w:val="28"/>
          <w:szCs w:val="28"/>
          <w:lang w:val="en-US" w:eastAsia="zh-CN"/>
        </w:rPr>
        <w:t>14</w:t>
      </w:r>
      <w:r>
        <w:rPr>
          <w:rFonts w:hint="eastAsia" w:ascii="宋体" w:hAnsi="宋体" w:cs="宋体"/>
          <w:sz w:val="28"/>
          <w:szCs w:val="28"/>
          <w:lang w:val="pt-BR"/>
        </w:rPr>
        <w:t>）</w:t>
      </w:r>
      <w:r>
        <w:rPr>
          <w:rFonts w:hint="eastAsia" w:ascii="宋体" w:hAnsi="宋体" w:eastAsia="宋体" w:cs="宋体"/>
          <w:sz w:val="28"/>
          <w:szCs w:val="28"/>
        </w:rPr>
        <w:t>大鳞副泥鳅</w:t>
      </w:r>
      <w:r>
        <w:rPr>
          <w:rFonts w:hint="eastAsia"/>
          <w:i/>
          <w:iCs/>
          <w:sz w:val="28"/>
          <w:szCs w:val="28"/>
          <w:lang w:val="pt-BR"/>
        </w:rPr>
        <w:t xml:space="preserve">Paramisgurnus dabryanus </w:t>
      </w:r>
    </w:p>
    <w:p>
      <w:pPr>
        <w:jc w:val="center"/>
        <w:rPr>
          <w:rFonts w:ascii="黑体" w:hAnsi="黑体" w:eastAsia="黑体" w:cs="黑体"/>
          <w:kern w:val="0"/>
          <w:sz w:val="24"/>
          <w:lang w:val="pt-BR"/>
        </w:rPr>
      </w:pPr>
      <w:r>
        <w:rPr>
          <w:rFonts w:hint="eastAsia" w:ascii="黑体" w:eastAsia="黑体"/>
          <w:sz w:val="32"/>
          <w:szCs w:val="32"/>
          <w:lang w:val="en-US" w:eastAsia="zh-CN"/>
        </w:rPr>
        <w:t>二</w:t>
      </w:r>
      <w:r>
        <w:rPr>
          <w:rFonts w:hint="eastAsia" w:ascii="黑体" w:eastAsia="黑体"/>
          <w:sz w:val="32"/>
          <w:szCs w:val="32"/>
        </w:rPr>
        <w:t>、鲇形目</w:t>
      </w:r>
      <w:r>
        <w:rPr>
          <w:rFonts w:eastAsia="黑体"/>
          <w:b/>
          <w:sz w:val="32"/>
          <w:szCs w:val="32"/>
          <w:lang w:val="pt-BR"/>
        </w:rPr>
        <w:t>S</w:t>
      </w:r>
      <w:r>
        <w:rPr>
          <w:rFonts w:hint="eastAsia" w:eastAsia="黑体"/>
          <w:b/>
          <w:sz w:val="32"/>
          <w:szCs w:val="32"/>
          <w:lang w:val="pt-BR"/>
        </w:rPr>
        <w:t>ILURIFORMES</w:t>
      </w:r>
    </w:p>
    <w:p>
      <w:pPr>
        <w:jc w:val="left"/>
        <w:rPr>
          <w:i/>
          <w:iCs/>
          <w:kern w:val="0"/>
          <w:szCs w:val="21"/>
          <w:lang w:val="pt-BR"/>
        </w:rPr>
      </w:pPr>
      <w:r>
        <w:rPr>
          <w:rFonts w:hint="eastAsia" w:ascii="黑体" w:hAnsi="黑体" w:eastAsia="黑体" w:cs="黑体"/>
          <w:bCs/>
          <w:sz w:val="30"/>
          <w:szCs w:val="30"/>
          <w:lang w:val="pt-BR"/>
        </w:rPr>
        <w:t>（</w:t>
      </w:r>
      <w:r>
        <w:rPr>
          <w:rFonts w:hint="eastAsia" w:ascii="黑体" w:hAnsi="黑体" w:eastAsia="黑体" w:cs="黑体"/>
          <w:bCs/>
          <w:sz w:val="30"/>
          <w:szCs w:val="30"/>
          <w:lang w:val="en-US" w:eastAsia="zh-CN"/>
        </w:rPr>
        <w:t>三</w:t>
      </w:r>
      <w:r>
        <w:rPr>
          <w:rFonts w:hint="eastAsia" w:ascii="黑体" w:hAnsi="黑体" w:eastAsia="黑体" w:cs="黑体"/>
          <w:bCs/>
          <w:sz w:val="30"/>
          <w:szCs w:val="30"/>
          <w:lang w:val="pt-BR"/>
        </w:rPr>
        <w:t>）</w:t>
      </w:r>
      <w:r>
        <w:rPr>
          <w:rFonts w:hint="eastAsia" w:ascii="黑体" w:hAnsi="黑体" w:eastAsia="黑体" w:cs="黑体"/>
          <w:bCs/>
          <w:sz w:val="30"/>
          <w:szCs w:val="30"/>
        </w:rPr>
        <w:t>鲇科</w:t>
      </w:r>
      <w:r>
        <w:rPr>
          <w:rFonts w:hint="eastAsia"/>
          <w:b/>
          <w:sz w:val="30"/>
          <w:szCs w:val="30"/>
          <w:lang w:val="pt-BR"/>
        </w:rPr>
        <w:t>Siluridae</w:t>
      </w:r>
    </w:p>
    <w:p>
      <w:pPr>
        <w:ind w:firstLine="600" w:firstLineChars="200"/>
        <w:rPr>
          <w:rFonts w:ascii="黑体" w:hAnsi="黑体" w:eastAsia="黑体" w:cs="黑体"/>
          <w:kern w:val="0"/>
          <w:szCs w:val="21"/>
          <w:lang w:val="pt-BR"/>
        </w:rPr>
      </w:pPr>
      <w:r>
        <w:rPr>
          <w:rFonts w:hint="eastAsia" w:ascii="黑体" w:hAnsi="黑体" w:eastAsia="黑体" w:cs="黑体"/>
          <w:bCs/>
          <w:sz w:val="30"/>
          <w:szCs w:val="30"/>
          <w:lang w:val="en-US" w:eastAsia="zh-CN"/>
        </w:rPr>
        <w:t>13</w:t>
      </w:r>
      <w:r>
        <w:rPr>
          <w:rFonts w:hint="eastAsia" w:ascii="黑体" w:hAnsi="黑体" w:eastAsia="黑体" w:cs="黑体"/>
          <w:bCs/>
          <w:sz w:val="30"/>
          <w:szCs w:val="30"/>
          <w:lang w:val="pt-BR"/>
        </w:rPr>
        <w:t>、</w:t>
      </w:r>
      <w:r>
        <w:rPr>
          <w:rFonts w:hint="eastAsia" w:ascii="黑体" w:hAnsi="黑体" w:eastAsia="黑体" w:cs="黑体"/>
          <w:bCs/>
          <w:sz w:val="30"/>
          <w:szCs w:val="30"/>
        </w:rPr>
        <w:t>鲇属</w:t>
      </w:r>
      <w:r>
        <w:rPr>
          <w:rFonts w:hint="eastAsia" w:eastAsia="黑体"/>
          <w:i/>
          <w:iCs/>
          <w:sz w:val="30"/>
          <w:szCs w:val="30"/>
          <w:shd w:val="clear" w:color="auto" w:fill="FFFFFF"/>
          <w:lang w:val="pt-BR"/>
        </w:rPr>
        <w:t xml:space="preserve">Silurus </w:t>
      </w:r>
    </w:p>
    <w:p>
      <w:pPr>
        <w:ind w:firstLine="560" w:firstLineChars="200"/>
        <w:rPr>
          <w:iCs/>
          <w:kern w:val="0"/>
          <w:szCs w:val="21"/>
          <w:lang w:val="pt-BR"/>
        </w:rPr>
      </w:pPr>
      <w:r>
        <w:rPr>
          <w:rFonts w:hint="eastAsia" w:ascii="宋体" w:hAnsi="宋体" w:cs="宋体"/>
          <w:sz w:val="28"/>
          <w:szCs w:val="28"/>
          <w:lang w:val="pt-BR"/>
        </w:rPr>
        <w:t>（</w:t>
      </w:r>
      <w:r>
        <w:rPr>
          <w:rFonts w:hint="eastAsia" w:ascii="宋体" w:hAnsi="宋体" w:cs="宋体"/>
          <w:sz w:val="28"/>
          <w:szCs w:val="28"/>
          <w:lang w:val="en-US" w:eastAsia="zh-CN"/>
        </w:rPr>
        <w:t>15</w:t>
      </w:r>
      <w:r>
        <w:rPr>
          <w:rFonts w:hint="eastAsia" w:ascii="宋体" w:hAnsi="宋体" w:cs="宋体"/>
          <w:sz w:val="28"/>
          <w:szCs w:val="28"/>
          <w:lang w:val="pt-BR"/>
        </w:rPr>
        <w:t>）</w:t>
      </w:r>
      <w:r>
        <w:rPr>
          <w:rFonts w:hint="eastAsia" w:ascii="宋体" w:hAnsi="宋体" w:eastAsia="宋体" w:cs="宋体"/>
          <w:sz w:val="28"/>
          <w:szCs w:val="28"/>
        </w:rPr>
        <w:t>鲇</w:t>
      </w:r>
      <w:r>
        <w:rPr>
          <w:rFonts w:hint="eastAsia"/>
          <w:i/>
          <w:iCs/>
          <w:sz w:val="28"/>
          <w:szCs w:val="28"/>
          <w:lang w:val="pt-BR"/>
        </w:rPr>
        <w:t>Silurus asotus</w:t>
      </w:r>
    </w:p>
    <w:p>
      <w:pPr>
        <w:jc w:val="center"/>
        <w:rPr>
          <w:rFonts w:ascii="黑体" w:hAnsi="黑体" w:eastAsia="黑体" w:cs="黑体"/>
          <w:i/>
          <w:iCs/>
          <w:kern w:val="0"/>
          <w:sz w:val="24"/>
          <w:lang w:val="pt-BR"/>
        </w:rPr>
      </w:pPr>
      <w:r>
        <w:rPr>
          <w:rFonts w:hint="eastAsia" w:ascii="黑体" w:eastAsia="黑体"/>
          <w:sz w:val="32"/>
          <w:szCs w:val="32"/>
          <w:lang w:val="en-US" w:eastAsia="zh-CN"/>
        </w:rPr>
        <w:t>三</w:t>
      </w:r>
      <w:r>
        <w:rPr>
          <w:rFonts w:hint="eastAsia" w:ascii="黑体" w:eastAsia="黑体"/>
          <w:sz w:val="32"/>
          <w:szCs w:val="32"/>
        </w:rPr>
        <w:t>、鳗鲡目</w:t>
      </w:r>
      <w:r>
        <w:rPr>
          <w:rFonts w:hint="eastAsia" w:eastAsia="黑体"/>
          <w:b/>
          <w:sz w:val="32"/>
          <w:szCs w:val="32"/>
          <w:lang w:val="pt-BR"/>
        </w:rPr>
        <w:t>ANGUILLIFORMES</w:t>
      </w:r>
    </w:p>
    <w:p>
      <w:pPr>
        <w:jc w:val="left"/>
        <w:rPr>
          <w:szCs w:val="21"/>
          <w:shd w:val="clear" w:color="auto" w:fill="FFFFFF"/>
          <w:lang w:val="pt-BR"/>
        </w:rPr>
      </w:pPr>
      <w:r>
        <w:rPr>
          <w:rFonts w:hint="eastAsia" w:ascii="黑体" w:hAnsi="黑体" w:eastAsia="黑体" w:cs="黑体"/>
          <w:bCs/>
          <w:sz w:val="30"/>
          <w:szCs w:val="30"/>
          <w:lang w:val="pt-BR"/>
        </w:rPr>
        <w:t>（</w:t>
      </w:r>
      <w:r>
        <w:rPr>
          <w:rFonts w:hint="eastAsia" w:ascii="黑体" w:hAnsi="黑体" w:eastAsia="黑体" w:cs="黑体"/>
          <w:bCs/>
          <w:sz w:val="30"/>
          <w:szCs w:val="30"/>
        </w:rPr>
        <w:t>四</w:t>
      </w:r>
      <w:r>
        <w:rPr>
          <w:rFonts w:hint="eastAsia" w:ascii="黑体" w:hAnsi="黑体" w:eastAsia="黑体" w:cs="黑体"/>
          <w:bCs/>
          <w:sz w:val="30"/>
          <w:szCs w:val="30"/>
          <w:lang w:val="pt-BR"/>
        </w:rPr>
        <w:t>）</w:t>
      </w:r>
      <w:r>
        <w:rPr>
          <w:rFonts w:hint="eastAsia" w:ascii="黑体" w:hAnsi="黑体" w:eastAsia="黑体" w:cs="黑体"/>
          <w:bCs/>
          <w:sz w:val="30"/>
          <w:szCs w:val="30"/>
        </w:rPr>
        <w:t>鳗鲡科</w:t>
      </w:r>
      <w:r>
        <w:rPr>
          <w:rFonts w:hint="eastAsia"/>
          <w:b/>
          <w:sz w:val="30"/>
          <w:szCs w:val="30"/>
          <w:lang w:val="pt-BR"/>
        </w:rPr>
        <w:t>Anguillidae</w:t>
      </w:r>
    </w:p>
    <w:p>
      <w:pPr>
        <w:ind w:firstLine="600" w:firstLineChars="200"/>
        <w:rPr>
          <w:rFonts w:eastAsia="仿宋_GB2312"/>
          <w:kern w:val="0"/>
          <w:szCs w:val="21"/>
          <w:lang w:val="pt-BR"/>
        </w:rPr>
      </w:pPr>
      <w:r>
        <w:rPr>
          <w:rFonts w:hint="eastAsia" w:ascii="黑体" w:hAnsi="黑体" w:eastAsia="黑体" w:cs="黑体"/>
          <w:bCs/>
          <w:sz w:val="30"/>
          <w:szCs w:val="30"/>
          <w:lang w:val="en-US" w:eastAsia="zh-CN"/>
        </w:rPr>
        <w:t>14</w:t>
      </w:r>
      <w:r>
        <w:rPr>
          <w:rFonts w:hint="eastAsia" w:ascii="黑体" w:hAnsi="黑体" w:eastAsia="黑体" w:cs="黑体"/>
          <w:bCs/>
          <w:sz w:val="30"/>
          <w:szCs w:val="30"/>
          <w:lang w:val="pt-BR"/>
        </w:rPr>
        <w:t>、鳗鲡属</w:t>
      </w:r>
      <w:r>
        <w:rPr>
          <w:rFonts w:hint="eastAsia" w:eastAsia="黑体"/>
          <w:i/>
          <w:iCs/>
          <w:sz w:val="30"/>
          <w:szCs w:val="30"/>
          <w:shd w:val="clear" w:color="auto" w:fill="FFFFFF"/>
          <w:lang w:val="pt-BR"/>
        </w:rPr>
        <w:t>Anguilla</w:t>
      </w:r>
    </w:p>
    <w:p>
      <w:pPr>
        <w:ind w:firstLine="560" w:firstLineChars="200"/>
        <w:rPr>
          <w:i/>
          <w:iCs/>
          <w:sz w:val="28"/>
          <w:szCs w:val="28"/>
          <w:lang w:val="pt-BR"/>
        </w:rPr>
      </w:pPr>
      <w:r>
        <w:rPr>
          <w:rFonts w:hint="eastAsia" w:ascii="宋体" w:hAnsi="宋体" w:cs="宋体"/>
          <w:sz w:val="28"/>
          <w:szCs w:val="28"/>
          <w:lang w:val="pt-BR"/>
        </w:rPr>
        <w:t>（1</w:t>
      </w:r>
      <w:r>
        <w:rPr>
          <w:rFonts w:hint="eastAsia" w:ascii="宋体" w:hAnsi="宋体" w:cs="宋体"/>
          <w:sz w:val="28"/>
          <w:szCs w:val="28"/>
          <w:lang w:val="en-US" w:eastAsia="zh-CN"/>
        </w:rPr>
        <w:t>6</w:t>
      </w:r>
      <w:r>
        <w:rPr>
          <w:rFonts w:hint="eastAsia" w:ascii="宋体" w:hAnsi="宋体" w:cs="宋体"/>
          <w:sz w:val="28"/>
          <w:szCs w:val="28"/>
          <w:lang w:val="pt-BR"/>
        </w:rPr>
        <w:t>）</w:t>
      </w:r>
      <w:r>
        <w:rPr>
          <w:rFonts w:hint="eastAsia" w:ascii="宋体" w:hAnsi="宋体" w:eastAsia="宋体" w:cs="宋体"/>
          <w:sz w:val="28"/>
          <w:szCs w:val="28"/>
        </w:rPr>
        <w:t>鳗鲡</w:t>
      </w:r>
      <w:r>
        <w:rPr>
          <w:rFonts w:hint="eastAsia"/>
          <w:i/>
          <w:iCs/>
          <w:sz w:val="28"/>
          <w:szCs w:val="28"/>
          <w:lang w:val="pt-BR"/>
        </w:rPr>
        <w:t>Anguilla japonica</w:t>
      </w:r>
    </w:p>
    <w:p>
      <w:pPr>
        <w:jc w:val="center"/>
        <w:rPr>
          <w:rFonts w:ascii="黑体" w:hAnsi="黑体" w:eastAsia="黑体" w:cs="黑体"/>
          <w:i/>
          <w:iCs/>
          <w:kern w:val="0"/>
          <w:sz w:val="24"/>
          <w:lang w:val="pt-BR"/>
        </w:rPr>
      </w:pPr>
      <w:r>
        <w:rPr>
          <w:rFonts w:hint="eastAsia" w:ascii="黑体" w:eastAsia="黑体"/>
          <w:sz w:val="32"/>
          <w:szCs w:val="32"/>
          <w:lang w:val="en-US" w:eastAsia="zh-CN"/>
        </w:rPr>
        <w:t>四</w:t>
      </w:r>
      <w:r>
        <w:rPr>
          <w:rFonts w:hint="eastAsia" w:ascii="黑体" w:eastAsia="黑体"/>
          <w:sz w:val="32"/>
          <w:szCs w:val="32"/>
        </w:rPr>
        <w:t>、合鳃鱼目</w:t>
      </w:r>
      <w:r>
        <w:rPr>
          <w:rFonts w:hint="eastAsia" w:eastAsia="黑体"/>
          <w:b/>
          <w:sz w:val="32"/>
          <w:szCs w:val="32"/>
          <w:lang w:val="pt-BR"/>
        </w:rPr>
        <w:t>SYNBRANCHIFORMES</w:t>
      </w:r>
    </w:p>
    <w:p>
      <w:pPr>
        <w:jc w:val="left"/>
        <w:rPr>
          <w:szCs w:val="21"/>
          <w:shd w:val="clear" w:color="auto" w:fill="FFFFFF"/>
          <w:lang w:val="pt-BR"/>
        </w:rPr>
      </w:pPr>
      <w:r>
        <w:rPr>
          <w:rFonts w:hint="eastAsia" w:ascii="黑体" w:hAnsi="黑体" w:eastAsia="黑体" w:cs="黑体"/>
          <w:bCs/>
          <w:sz w:val="30"/>
          <w:szCs w:val="30"/>
          <w:lang w:val="pt-BR"/>
        </w:rPr>
        <w:t>（</w:t>
      </w:r>
      <w:r>
        <w:rPr>
          <w:rFonts w:hint="eastAsia" w:ascii="黑体" w:hAnsi="黑体" w:eastAsia="黑体" w:cs="黑体"/>
          <w:bCs/>
          <w:sz w:val="30"/>
          <w:szCs w:val="30"/>
          <w:lang w:val="en-US" w:eastAsia="zh-CN"/>
        </w:rPr>
        <w:t>五</w:t>
      </w:r>
      <w:r>
        <w:rPr>
          <w:rFonts w:hint="eastAsia" w:ascii="黑体" w:hAnsi="黑体" w:eastAsia="黑体" w:cs="黑体"/>
          <w:bCs/>
          <w:sz w:val="30"/>
          <w:szCs w:val="30"/>
          <w:lang w:val="pt-BR"/>
        </w:rPr>
        <w:t>）</w:t>
      </w:r>
      <w:r>
        <w:rPr>
          <w:rFonts w:hint="eastAsia" w:ascii="黑体" w:hAnsi="黑体" w:eastAsia="黑体" w:cs="黑体"/>
          <w:bCs/>
          <w:sz w:val="30"/>
          <w:szCs w:val="30"/>
        </w:rPr>
        <w:t>合腮科</w:t>
      </w:r>
      <w:r>
        <w:rPr>
          <w:rFonts w:hint="eastAsia"/>
          <w:b/>
          <w:sz w:val="30"/>
          <w:szCs w:val="30"/>
          <w:lang w:val="pt-BR"/>
        </w:rPr>
        <w:t>Symbranchidae</w:t>
      </w:r>
    </w:p>
    <w:p>
      <w:pPr>
        <w:ind w:firstLine="600" w:firstLineChars="200"/>
        <w:rPr>
          <w:rFonts w:eastAsia="仿宋_GB2312"/>
          <w:kern w:val="0"/>
          <w:szCs w:val="21"/>
          <w:lang w:val="pt-BR"/>
        </w:rPr>
      </w:pPr>
      <w:r>
        <w:rPr>
          <w:rFonts w:hint="eastAsia" w:ascii="黑体" w:hAnsi="黑体" w:eastAsia="黑体" w:cs="黑体"/>
          <w:bCs/>
          <w:sz w:val="30"/>
          <w:szCs w:val="30"/>
          <w:lang w:val="en-US" w:eastAsia="zh-CN"/>
        </w:rPr>
        <w:t>15</w:t>
      </w:r>
      <w:r>
        <w:rPr>
          <w:rFonts w:hint="eastAsia" w:ascii="黑体" w:hAnsi="黑体" w:eastAsia="黑体" w:cs="黑体"/>
          <w:bCs/>
          <w:sz w:val="30"/>
          <w:szCs w:val="30"/>
          <w:lang w:val="pt-BR"/>
        </w:rPr>
        <w:t>、黄鳝属</w:t>
      </w:r>
      <w:r>
        <w:rPr>
          <w:rFonts w:hint="eastAsia" w:eastAsia="黑体"/>
          <w:i/>
          <w:iCs/>
          <w:sz w:val="30"/>
          <w:szCs w:val="30"/>
          <w:shd w:val="clear" w:color="auto" w:fill="FFFFFF"/>
          <w:lang w:val="pt-BR"/>
        </w:rPr>
        <w:t>Monopterus</w:t>
      </w:r>
    </w:p>
    <w:p>
      <w:pPr>
        <w:ind w:firstLine="560" w:firstLineChars="200"/>
        <w:rPr>
          <w:i/>
          <w:iCs/>
          <w:sz w:val="28"/>
          <w:szCs w:val="28"/>
          <w:lang w:val="pt-BR"/>
        </w:rPr>
      </w:pPr>
      <w:r>
        <w:rPr>
          <w:rFonts w:hint="eastAsia" w:ascii="宋体" w:hAnsi="宋体" w:cs="宋体"/>
          <w:sz w:val="28"/>
          <w:szCs w:val="28"/>
          <w:lang w:val="pt-BR"/>
        </w:rPr>
        <w:t>（1</w:t>
      </w:r>
      <w:r>
        <w:rPr>
          <w:rFonts w:hint="eastAsia" w:ascii="宋体" w:hAnsi="宋体" w:cs="宋体"/>
          <w:sz w:val="28"/>
          <w:szCs w:val="28"/>
          <w:lang w:val="en-US" w:eastAsia="zh-CN"/>
        </w:rPr>
        <w:t>7</w:t>
      </w:r>
      <w:r>
        <w:rPr>
          <w:rFonts w:hint="eastAsia" w:ascii="宋体" w:hAnsi="宋体" w:cs="宋体"/>
          <w:sz w:val="28"/>
          <w:szCs w:val="28"/>
          <w:lang w:val="pt-BR"/>
        </w:rPr>
        <w:t>）</w:t>
      </w:r>
      <w:r>
        <w:rPr>
          <w:rFonts w:hint="eastAsia" w:ascii="宋体" w:hAnsi="宋体" w:eastAsia="宋体" w:cs="宋体"/>
          <w:sz w:val="28"/>
          <w:szCs w:val="28"/>
        </w:rPr>
        <w:t>黄鳝</w:t>
      </w:r>
      <w:r>
        <w:rPr>
          <w:rFonts w:hint="eastAsia"/>
          <w:i/>
          <w:iCs/>
          <w:sz w:val="28"/>
          <w:szCs w:val="28"/>
          <w:lang w:val="pt-BR"/>
        </w:rPr>
        <w:t>Monopterus albus</w:t>
      </w:r>
    </w:p>
    <w:p>
      <w:pPr>
        <w:jc w:val="center"/>
        <w:rPr>
          <w:rFonts w:eastAsia="黑体"/>
          <w:b/>
          <w:sz w:val="32"/>
          <w:szCs w:val="32"/>
          <w:lang w:val="pt-BR"/>
        </w:rPr>
      </w:pPr>
      <w:r>
        <w:rPr>
          <w:rFonts w:hint="eastAsia" w:ascii="黑体" w:eastAsia="黑体"/>
          <w:sz w:val="32"/>
          <w:szCs w:val="32"/>
          <w:lang w:val="en-US" w:eastAsia="zh-CN"/>
        </w:rPr>
        <w:t>五</w:t>
      </w:r>
      <w:r>
        <w:rPr>
          <w:rFonts w:hint="eastAsia" w:ascii="黑体" w:eastAsia="黑体"/>
          <w:sz w:val="32"/>
          <w:szCs w:val="32"/>
        </w:rPr>
        <w:t>、鲈形目</w:t>
      </w:r>
      <w:r>
        <w:rPr>
          <w:rFonts w:hint="eastAsia" w:eastAsia="黑体"/>
          <w:b/>
          <w:sz w:val="32"/>
          <w:szCs w:val="32"/>
          <w:lang w:val="pt-BR"/>
        </w:rPr>
        <w:t>PERCIFORMES</w:t>
      </w:r>
    </w:p>
    <w:p>
      <w:pPr>
        <w:jc w:val="left"/>
        <w:rPr>
          <w:i/>
          <w:iCs/>
          <w:kern w:val="0"/>
          <w:szCs w:val="21"/>
          <w:lang w:val="pt-BR"/>
        </w:rPr>
      </w:pPr>
      <w:r>
        <w:rPr>
          <w:rFonts w:hint="eastAsia" w:ascii="黑体" w:hAnsi="黑体" w:eastAsia="黑体" w:cs="黑体"/>
          <w:bCs/>
          <w:sz w:val="30"/>
          <w:szCs w:val="30"/>
          <w:lang w:val="pt-BR"/>
        </w:rPr>
        <w:t>（</w:t>
      </w:r>
      <w:r>
        <w:rPr>
          <w:rFonts w:hint="eastAsia" w:ascii="黑体" w:hAnsi="黑体" w:eastAsia="黑体" w:cs="黑体"/>
          <w:bCs/>
          <w:sz w:val="30"/>
          <w:szCs w:val="30"/>
          <w:lang w:val="en-US" w:eastAsia="zh-CN"/>
        </w:rPr>
        <w:t>六</w:t>
      </w:r>
      <w:r>
        <w:rPr>
          <w:rFonts w:hint="eastAsia" w:ascii="黑体" w:hAnsi="黑体" w:eastAsia="黑体" w:cs="黑体"/>
          <w:bCs/>
          <w:sz w:val="30"/>
          <w:szCs w:val="30"/>
          <w:lang w:val="pt-BR"/>
        </w:rPr>
        <w:t>）</w:t>
      </w:r>
      <w:r>
        <w:rPr>
          <w:rFonts w:hint="eastAsia" w:ascii="黑体" w:hAnsi="黑体" w:eastAsia="黑体" w:cs="黑体"/>
          <w:bCs/>
          <w:sz w:val="30"/>
          <w:szCs w:val="30"/>
        </w:rPr>
        <w:t>鳢科</w:t>
      </w:r>
      <w:r>
        <w:rPr>
          <w:rFonts w:hint="eastAsia"/>
          <w:b/>
          <w:sz w:val="30"/>
          <w:szCs w:val="30"/>
          <w:lang w:val="pt-BR"/>
        </w:rPr>
        <w:t>Channidae</w:t>
      </w:r>
    </w:p>
    <w:p>
      <w:pPr>
        <w:ind w:firstLine="600" w:firstLineChars="200"/>
        <w:rPr>
          <w:i/>
          <w:iCs/>
          <w:kern w:val="0"/>
          <w:szCs w:val="21"/>
          <w:lang w:val="pt-BR"/>
        </w:rPr>
      </w:pPr>
      <w:r>
        <w:rPr>
          <w:rFonts w:hint="eastAsia" w:ascii="黑体" w:hAnsi="黑体" w:eastAsia="黑体" w:cs="黑体"/>
          <w:bCs/>
          <w:sz w:val="30"/>
          <w:szCs w:val="30"/>
          <w:lang w:val="en-US" w:eastAsia="zh-CN"/>
        </w:rPr>
        <w:t>16</w:t>
      </w:r>
      <w:r>
        <w:rPr>
          <w:rFonts w:hint="eastAsia" w:ascii="黑体" w:hAnsi="黑体" w:eastAsia="黑体" w:cs="黑体"/>
          <w:bCs/>
          <w:sz w:val="30"/>
          <w:szCs w:val="30"/>
          <w:lang w:val="pt-BR"/>
        </w:rPr>
        <w:t>、鳢属</w:t>
      </w:r>
      <w:r>
        <w:rPr>
          <w:rFonts w:hint="eastAsia" w:eastAsia="黑体"/>
          <w:i/>
          <w:iCs/>
          <w:sz w:val="30"/>
          <w:szCs w:val="30"/>
          <w:shd w:val="clear" w:color="auto" w:fill="FFFFFF"/>
          <w:lang w:val="pt-BR"/>
        </w:rPr>
        <w:t>Channa</w:t>
      </w:r>
    </w:p>
    <w:p>
      <w:pPr>
        <w:ind w:firstLine="560" w:firstLineChars="200"/>
        <w:rPr>
          <w:rFonts w:hint="eastAsia"/>
          <w:i/>
          <w:iCs/>
          <w:sz w:val="28"/>
          <w:szCs w:val="28"/>
          <w:lang w:val="en-US" w:eastAsia="zh-CN"/>
        </w:rPr>
      </w:pPr>
      <w:r>
        <w:rPr>
          <w:rFonts w:hint="eastAsia" w:ascii="宋体" w:hAnsi="宋体" w:cs="宋体"/>
          <w:sz w:val="28"/>
          <w:szCs w:val="28"/>
          <w:lang w:val="pt-BR"/>
        </w:rPr>
        <w:t>（1</w:t>
      </w:r>
      <w:r>
        <w:rPr>
          <w:rFonts w:hint="eastAsia" w:ascii="宋体" w:hAnsi="宋体" w:cs="宋体"/>
          <w:sz w:val="28"/>
          <w:szCs w:val="28"/>
          <w:lang w:val="en-US" w:eastAsia="zh-CN"/>
        </w:rPr>
        <w:t>8</w:t>
      </w:r>
      <w:r>
        <w:rPr>
          <w:rFonts w:hint="eastAsia" w:ascii="宋体" w:hAnsi="宋体" w:cs="宋体"/>
          <w:sz w:val="28"/>
          <w:szCs w:val="28"/>
          <w:lang w:val="pt-BR"/>
        </w:rPr>
        <w:t>）</w:t>
      </w:r>
      <w:r>
        <w:rPr>
          <w:rFonts w:hint="eastAsia" w:ascii="宋体" w:hAnsi="宋体" w:eastAsia="宋体" w:cs="宋体"/>
          <w:sz w:val="28"/>
          <w:szCs w:val="28"/>
        </w:rPr>
        <w:t>乌鳢</w:t>
      </w:r>
      <w:r>
        <w:rPr>
          <w:rFonts w:hint="eastAsia"/>
          <w:i/>
          <w:iCs/>
          <w:sz w:val="28"/>
          <w:szCs w:val="28"/>
          <w:lang w:val="pt-BR"/>
        </w:rPr>
        <w:t>Channa argus</w:t>
      </w:r>
    </w:p>
    <w:sectPr>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70830898"/>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17</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870830898"/>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17</w:t>
                        </w:r>
                        <w:r>
                          <w:fldChar w:fldCharType="end"/>
                        </w:r>
                      </w:p>
                    </w:sdtContent>
                  </w:sdt>
                  <w:p/>
                </w:txbxContent>
              </v:textbox>
            </v:shape>
          </w:pict>
        </mc:Fallback>
      </mc:AlternateConten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righ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r>
      <mc:AlternateContent>
        <mc:Choice Requires="wps">
          <w:drawing>
            <wp:anchor distT="45720" distB="45720" distL="114300" distR="114300" simplePos="0" relativeHeight="251659264" behindDoc="0" locked="0" layoutInCell="1" allowOverlap="1">
              <wp:simplePos x="0" y="0"/>
              <wp:positionH relativeFrom="column">
                <wp:posOffset>139065</wp:posOffset>
              </wp:positionH>
              <wp:positionV relativeFrom="paragraph">
                <wp:posOffset>121285</wp:posOffset>
              </wp:positionV>
              <wp:extent cx="1897380" cy="238125"/>
              <wp:effectExtent l="0" t="0" r="7620" b="952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7380" cy="238125"/>
                      </a:xfrm>
                      <a:prstGeom prst="rect">
                        <a:avLst/>
                      </a:prstGeom>
                      <a:noFill/>
                      <a:ln w="9525">
                        <a:noFill/>
                        <a:miter lim="800000"/>
                      </a:ln>
                    </wps:spPr>
                    <wps:txbx>
                      <w:txbxContent>
                        <w:p>
                          <w:pPr>
                            <w:ind w:firstLine="0" w:firstLineChars="0"/>
                          </w:pPr>
                          <w:r>
                            <w:rPr>
                              <w:rFonts w:hint="eastAsia"/>
                              <w:sz w:val="18"/>
                              <w:szCs w:val="18"/>
                            </w:rPr>
                            <w:t>东华</w:t>
                          </w:r>
                          <w:r>
                            <w:rPr>
                              <w:sz w:val="18"/>
                              <w:szCs w:val="18"/>
                            </w:rPr>
                            <w:t>（</w:t>
                          </w:r>
                          <w:r>
                            <w:rPr>
                              <w:rFonts w:hint="eastAsia"/>
                              <w:sz w:val="18"/>
                              <w:szCs w:val="18"/>
                            </w:rPr>
                            <w:t>安徽</w:t>
                          </w:r>
                          <w:r>
                            <w:rPr>
                              <w:sz w:val="18"/>
                              <w:szCs w:val="18"/>
                            </w:rPr>
                            <w:t>）</w:t>
                          </w:r>
                          <w:r>
                            <w:rPr>
                              <w:rFonts w:hint="eastAsia"/>
                              <w:sz w:val="18"/>
                              <w:szCs w:val="18"/>
                            </w:rPr>
                            <w:t>生态规划院</w:t>
                          </w:r>
                          <w:r>
                            <w:rPr>
                              <w:sz w:val="18"/>
                              <w:szCs w:val="18"/>
                            </w:rPr>
                            <w:t>有限公司</w:t>
                          </w:r>
                          <w:r>
                            <w:rPr>
                              <w:rFonts w:hint="eastAsia"/>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95pt;margin-top:9.55pt;height:18.75pt;width:149.4pt;mso-wrap-distance-bottom:3.6pt;mso-wrap-distance-left:9pt;mso-wrap-distance-right:9pt;mso-wrap-distance-top:3.6pt;z-index:251659264;mso-width-relative:page;mso-height-relative:page;" filled="f" stroked="f" coordsize="21600,21600" o:gfxdata="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JCItXW&#10;AAAACAEAAA8AAAAAAAAAAQAgAAAAIgAAAGRycy9kb3ducmV2LnhtbFBLAQIUABQAAAAIAIdO4kBi&#10;yth9IgIAACsEAAAOAAAAAAAAAAEAIAAAACUBAABkcnMvZTJvRG9jLnhtbFBLBQYAAAAABgAGAFkB&#10;AAC5BQAAAAA=&#10;">
              <v:fill on="f" focussize="0,0"/>
              <v:stroke on="f" miterlimit="8" joinstyle="miter"/>
              <v:imagedata o:title=""/>
              <o:lock v:ext="edit" aspectratio="f"/>
              <v:textbox>
                <w:txbxContent>
                  <w:p>
                    <w:pPr>
                      <w:ind w:firstLine="0" w:firstLineChars="0"/>
                    </w:pPr>
                    <w:r>
                      <w:rPr>
                        <w:rFonts w:hint="eastAsia"/>
                        <w:sz w:val="18"/>
                        <w:szCs w:val="18"/>
                      </w:rPr>
                      <w:t>东华</w:t>
                    </w:r>
                    <w:r>
                      <w:rPr>
                        <w:sz w:val="18"/>
                        <w:szCs w:val="18"/>
                      </w:rPr>
                      <w:t>（</w:t>
                    </w:r>
                    <w:r>
                      <w:rPr>
                        <w:rFonts w:hint="eastAsia"/>
                        <w:sz w:val="18"/>
                        <w:szCs w:val="18"/>
                      </w:rPr>
                      <w:t>安徽</w:t>
                    </w:r>
                    <w:r>
                      <w:rPr>
                        <w:sz w:val="18"/>
                        <w:szCs w:val="18"/>
                      </w:rPr>
                      <w:t>）</w:t>
                    </w:r>
                    <w:r>
                      <w:rPr>
                        <w:rFonts w:hint="eastAsia"/>
                        <w:sz w:val="18"/>
                        <w:szCs w:val="18"/>
                      </w:rPr>
                      <w:t>生态规划院</w:t>
                    </w:r>
                    <w:r>
                      <w:rPr>
                        <w:sz w:val="18"/>
                        <w:szCs w:val="18"/>
                      </w:rPr>
                      <w:t>有限公司</w:t>
                    </w:r>
                    <w:r>
                      <w:rPr>
                        <w:rFonts w:hint="eastAsia"/>
                      </w:rPr>
                      <w:t xml:space="preserve"> </w:t>
                    </w:r>
                  </w:p>
                </w:txbxContent>
              </v:textbox>
              <w10:wrap type="square"/>
            </v:shape>
          </w:pict>
        </mc:Fallback>
      </mc:AlternateContent>
    </w:r>
    <w:r>
      <w:rPr>
        <w:rFonts w:hint="eastAsia"/>
      </w:rPr>
      <w:drawing>
        <wp:anchor distT="0" distB="0" distL="114300" distR="114300" simplePos="0" relativeHeight="251660288" behindDoc="0" locked="0" layoutInCell="1" allowOverlap="1">
          <wp:simplePos x="0" y="0"/>
          <wp:positionH relativeFrom="column">
            <wp:posOffset>-28575</wp:posOffset>
          </wp:positionH>
          <wp:positionV relativeFrom="paragraph">
            <wp:posOffset>118745</wp:posOffset>
          </wp:positionV>
          <wp:extent cx="266700" cy="26670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anchor>
      </w:drawing>
    </w:r>
  </w:p>
  <w:sdt>
    <w:sdtPr>
      <w:id w:val="-2071878903"/>
      <w:showingPlcHdr/>
      <w:docPartObj>
        <w:docPartGallery w:val="autotext"/>
      </w:docPartObj>
    </w:sdtPr>
    <w:sdtContent>
      <w:p>
        <w:pPr>
          <w:pStyle w:val="7"/>
          <w:ind w:firstLine="360"/>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left"/>
    </w:pPr>
  </w:p>
  <w:p>
    <w:pPr>
      <w:pStyle w:val="8"/>
      <w:ind w:left="0" w:leftChars="0" w:firstLine="0" w:firstLineChars="0"/>
      <w:jc w:val="center"/>
      <w:rPr>
        <w:color w:val="auto"/>
      </w:rPr>
    </w:pPr>
    <w:r>
      <w:rPr>
        <w:color w:val="auto"/>
      </w:rPr>
      <w:t>台前县</w:t>
    </w:r>
    <w:r>
      <w:rPr>
        <w:rFonts w:hint="eastAsia"/>
        <w:color w:val="auto"/>
        <w:lang w:eastAsia="zh-CN"/>
      </w:rPr>
      <w:t>西凤</w:t>
    </w:r>
    <w:r>
      <w:rPr>
        <w:color w:val="auto"/>
      </w:rPr>
      <w:t>省级森林公园总体规划</w:t>
    </w:r>
    <w:r>
      <w:rPr>
        <w:rFonts w:hint="eastAsia"/>
        <w:color w:val="auto"/>
      </w:rPr>
      <w:t>（2</w:t>
    </w:r>
    <w:r>
      <w:rPr>
        <w:color w:val="auto"/>
      </w:rPr>
      <w:t>02</w:t>
    </w:r>
    <w:r>
      <w:rPr>
        <w:rFonts w:hint="eastAsia"/>
        <w:color w:val="auto"/>
        <w:lang w:val="en-US" w:eastAsia="zh-CN"/>
      </w:rPr>
      <w:t>1</w:t>
    </w:r>
    <w:r>
      <w:rPr>
        <w:rFonts w:hint="eastAsia"/>
        <w:color w:val="auto"/>
      </w:rPr>
      <w:t>—2</w:t>
    </w:r>
    <w:r>
      <w:rPr>
        <w:color w:val="auto"/>
      </w:rPr>
      <w:t>0</w:t>
    </w:r>
    <w:r>
      <w:rPr>
        <w:rFonts w:hint="eastAsia"/>
        <w:color w:val="auto"/>
        <w:lang w:val="en-US" w:eastAsia="zh-CN"/>
      </w:rPr>
      <w:t>30</w:t>
    </w:r>
    <w:r>
      <w:rPr>
        <w:color w:val="auto"/>
      </w:rPr>
      <w:t>年</w:t>
    </w:r>
    <w:r>
      <w:rPr>
        <w:rFonts w:hint="eastAsia"/>
        <w:color w:val="auto"/>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left"/>
    </w:pPr>
  </w:p>
  <w:p>
    <w:pPr>
      <w:pStyle w:val="8"/>
      <w:ind w:firstLine="0" w:firstLineChars="0"/>
      <w:jc w:val="center"/>
    </w:pPr>
    <w:r>
      <w:t>台前县</w:t>
    </w:r>
    <w:r>
      <w:rPr>
        <w:rFonts w:hint="eastAsia"/>
        <w:lang w:eastAsia="zh-CN"/>
      </w:rPr>
      <w:t>西凤</w:t>
    </w:r>
    <w:r>
      <w:t>省级森林公园总体规划</w:t>
    </w:r>
    <w:r>
      <w:rPr>
        <w:rFonts w:hint="eastAsia"/>
      </w:rPr>
      <w:t>（2</w:t>
    </w:r>
    <w:r>
      <w:t>02</w:t>
    </w:r>
    <w:r>
      <w:rPr>
        <w:rFonts w:hint="eastAsia"/>
        <w:lang w:val="en-US" w:eastAsia="zh-CN"/>
      </w:rPr>
      <w:t>1</w:t>
    </w:r>
    <w:r>
      <w:rPr>
        <w:rFonts w:hint="eastAsia"/>
      </w:rPr>
      <w:t>—2</w:t>
    </w:r>
    <w:r>
      <w:t>0</w:t>
    </w:r>
    <w:r>
      <w:rPr>
        <w:rFonts w:hint="eastAsia"/>
        <w:lang w:val="en-US" w:eastAsia="zh-CN"/>
      </w:rPr>
      <w:t>30</w:t>
    </w:r>
    <w:r>
      <w:t>年</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4BADBF"/>
    <w:multiLevelType w:val="singleLevel"/>
    <w:tmpl w:val="C04BADBF"/>
    <w:lvl w:ilvl="0" w:tentative="0">
      <w:start w:val="10"/>
      <w:numFmt w:val="decimal"/>
      <w:suff w:val="space"/>
      <w:lvlText w:val="%1."/>
      <w:lvlJc w:val="left"/>
    </w:lvl>
  </w:abstractNum>
  <w:abstractNum w:abstractNumId="1">
    <w:nsid w:val="00000010"/>
    <w:multiLevelType w:val="multilevel"/>
    <w:tmpl w:val="00000010"/>
    <w:lvl w:ilvl="0" w:tentative="0">
      <w:start w:val="1"/>
      <w:numFmt w:val="decimal"/>
      <w:pStyle w:val="32"/>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00000018"/>
    <w:multiLevelType w:val="multilevel"/>
    <w:tmpl w:val="00000018"/>
    <w:lvl w:ilvl="0" w:tentative="0">
      <w:start w:val="1"/>
      <w:numFmt w:val="upperLetter"/>
      <w:pStyle w:val="2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3"/>
      <w:suff w:val="nothing"/>
      <w:lvlText w:val="%1.%2　"/>
      <w:lvlJc w:val="left"/>
      <w:pPr>
        <w:ind w:left="284"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19"/>
    <w:multiLevelType w:val="multilevel"/>
    <w:tmpl w:val="00000019"/>
    <w:lvl w:ilvl="0" w:tentative="0">
      <w:start w:val="1"/>
      <w:numFmt w:val="lowerLetter"/>
      <w:pStyle w:val="29"/>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38"/>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30"/>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pStyle w:val="31"/>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4">
    <w:nsid w:val="563B63A3"/>
    <w:multiLevelType w:val="multilevel"/>
    <w:tmpl w:val="563B63A3"/>
    <w:lvl w:ilvl="0" w:tentative="0">
      <w:start w:val="1"/>
      <w:numFmt w:val="decimal"/>
      <w:pStyle w:val="37"/>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772D64E3"/>
    <w:multiLevelType w:val="singleLevel"/>
    <w:tmpl w:val="772D64E3"/>
    <w:lvl w:ilvl="0" w:tentative="0">
      <w:start w:val="5"/>
      <w:numFmt w:val="decimal"/>
      <w:lvlText w:val="%1."/>
      <w:lvlJc w:val="left"/>
      <w:pPr>
        <w:tabs>
          <w:tab w:val="left" w:pos="312"/>
        </w:tabs>
      </w:pPr>
    </w:lvl>
  </w:abstractNum>
  <w:num w:numId="1">
    <w:abstractNumId w:val="2"/>
  </w:num>
  <w:num w:numId="2">
    <w:abstractNumId w:val="3"/>
    <w:lvlOverride w:ilvl="0">
      <w:startOverride w:val="1"/>
    </w:lvlOverride>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B47"/>
    <w:rsid w:val="00006E85"/>
    <w:rsid w:val="000107EB"/>
    <w:rsid w:val="00016EEA"/>
    <w:rsid w:val="00025D35"/>
    <w:rsid w:val="00031319"/>
    <w:rsid w:val="000366C4"/>
    <w:rsid w:val="00040609"/>
    <w:rsid w:val="00066623"/>
    <w:rsid w:val="00074BB5"/>
    <w:rsid w:val="00082EB9"/>
    <w:rsid w:val="00083CC6"/>
    <w:rsid w:val="000853BF"/>
    <w:rsid w:val="000860BD"/>
    <w:rsid w:val="00090FCB"/>
    <w:rsid w:val="000975AF"/>
    <w:rsid w:val="000A7474"/>
    <w:rsid w:val="000B69F4"/>
    <w:rsid w:val="000C303F"/>
    <w:rsid w:val="000D4A96"/>
    <w:rsid w:val="000D5B20"/>
    <w:rsid w:val="000F4385"/>
    <w:rsid w:val="000F64B8"/>
    <w:rsid w:val="001030F8"/>
    <w:rsid w:val="00103B50"/>
    <w:rsid w:val="001063E3"/>
    <w:rsid w:val="00114472"/>
    <w:rsid w:val="001167AD"/>
    <w:rsid w:val="00135DC4"/>
    <w:rsid w:val="00160CB2"/>
    <w:rsid w:val="00167C1B"/>
    <w:rsid w:val="001708D4"/>
    <w:rsid w:val="00174276"/>
    <w:rsid w:val="0017475E"/>
    <w:rsid w:val="001813E9"/>
    <w:rsid w:val="0018172C"/>
    <w:rsid w:val="00190610"/>
    <w:rsid w:val="001A04A7"/>
    <w:rsid w:val="001A2259"/>
    <w:rsid w:val="001A6700"/>
    <w:rsid w:val="001B16CC"/>
    <w:rsid w:val="001B26CA"/>
    <w:rsid w:val="001B2E70"/>
    <w:rsid w:val="001C21E5"/>
    <w:rsid w:val="001D2B38"/>
    <w:rsid w:val="001D3406"/>
    <w:rsid w:val="001D6400"/>
    <w:rsid w:val="001D7B08"/>
    <w:rsid w:val="001D7C0B"/>
    <w:rsid w:val="001E4B02"/>
    <w:rsid w:val="001E4BAD"/>
    <w:rsid w:val="001E4F46"/>
    <w:rsid w:val="001F14A9"/>
    <w:rsid w:val="002046FE"/>
    <w:rsid w:val="00212C83"/>
    <w:rsid w:val="00214E26"/>
    <w:rsid w:val="00217EA4"/>
    <w:rsid w:val="002236E1"/>
    <w:rsid w:val="00226972"/>
    <w:rsid w:val="00236526"/>
    <w:rsid w:val="00236698"/>
    <w:rsid w:val="0024458B"/>
    <w:rsid w:val="00246C6A"/>
    <w:rsid w:val="00251699"/>
    <w:rsid w:val="002602BC"/>
    <w:rsid w:val="00261208"/>
    <w:rsid w:val="00271BCE"/>
    <w:rsid w:val="0027214D"/>
    <w:rsid w:val="002723EE"/>
    <w:rsid w:val="002739DE"/>
    <w:rsid w:val="00273B75"/>
    <w:rsid w:val="002740EE"/>
    <w:rsid w:val="00274801"/>
    <w:rsid w:val="00286BC0"/>
    <w:rsid w:val="0029135F"/>
    <w:rsid w:val="002944B1"/>
    <w:rsid w:val="00297C98"/>
    <w:rsid w:val="002A0552"/>
    <w:rsid w:val="002A0F47"/>
    <w:rsid w:val="002A1F93"/>
    <w:rsid w:val="002B1CC1"/>
    <w:rsid w:val="002B3533"/>
    <w:rsid w:val="002B681F"/>
    <w:rsid w:val="002D68BC"/>
    <w:rsid w:val="002E419F"/>
    <w:rsid w:val="002F179B"/>
    <w:rsid w:val="003027AF"/>
    <w:rsid w:val="00304927"/>
    <w:rsid w:val="00312E91"/>
    <w:rsid w:val="0032026E"/>
    <w:rsid w:val="00327949"/>
    <w:rsid w:val="00330AB4"/>
    <w:rsid w:val="00340A63"/>
    <w:rsid w:val="00346EB9"/>
    <w:rsid w:val="00360741"/>
    <w:rsid w:val="003636F5"/>
    <w:rsid w:val="003641D9"/>
    <w:rsid w:val="003669B6"/>
    <w:rsid w:val="00380812"/>
    <w:rsid w:val="003852F2"/>
    <w:rsid w:val="003857D3"/>
    <w:rsid w:val="00394547"/>
    <w:rsid w:val="003A79D7"/>
    <w:rsid w:val="003B40A1"/>
    <w:rsid w:val="003C2A1C"/>
    <w:rsid w:val="003C6BD5"/>
    <w:rsid w:val="003C7C8B"/>
    <w:rsid w:val="003D084B"/>
    <w:rsid w:val="003D093B"/>
    <w:rsid w:val="003D181B"/>
    <w:rsid w:val="003D355A"/>
    <w:rsid w:val="003E1DE3"/>
    <w:rsid w:val="003E33C4"/>
    <w:rsid w:val="003E3D95"/>
    <w:rsid w:val="003E55AC"/>
    <w:rsid w:val="003F2BBD"/>
    <w:rsid w:val="003F37B1"/>
    <w:rsid w:val="00402112"/>
    <w:rsid w:val="004023AE"/>
    <w:rsid w:val="00402C19"/>
    <w:rsid w:val="00403BF7"/>
    <w:rsid w:val="0040490E"/>
    <w:rsid w:val="00412713"/>
    <w:rsid w:val="00420D2D"/>
    <w:rsid w:val="004239BB"/>
    <w:rsid w:val="004254D1"/>
    <w:rsid w:val="004306A6"/>
    <w:rsid w:val="00432261"/>
    <w:rsid w:val="00432DC8"/>
    <w:rsid w:val="004351D3"/>
    <w:rsid w:val="00441D1F"/>
    <w:rsid w:val="00442130"/>
    <w:rsid w:val="00442A50"/>
    <w:rsid w:val="00450130"/>
    <w:rsid w:val="00463BF1"/>
    <w:rsid w:val="00465A4A"/>
    <w:rsid w:val="004661D8"/>
    <w:rsid w:val="00475CBC"/>
    <w:rsid w:val="004819CA"/>
    <w:rsid w:val="00481C34"/>
    <w:rsid w:val="00481CF2"/>
    <w:rsid w:val="00483002"/>
    <w:rsid w:val="00484781"/>
    <w:rsid w:val="00484BA6"/>
    <w:rsid w:val="00485C38"/>
    <w:rsid w:val="004879B1"/>
    <w:rsid w:val="00490DA6"/>
    <w:rsid w:val="00492170"/>
    <w:rsid w:val="004A14BA"/>
    <w:rsid w:val="004B2DB7"/>
    <w:rsid w:val="004B4F51"/>
    <w:rsid w:val="004C2205"/>
    <w:rsid w:val="004D1189"/>
    <w:rsid w:val="004D4CEC"/>
    <w:rsid w:val="004F14F8"/>
    <w:rsid w:val="00506887"/>
    <w:rsid w:val="00513025"/>
    <w:rsid w:val="00516B36"/>
    <w:rsid w:val="0052079F"/>
    <w:rsid w:val="00520B7D"/>
    <w:rsid w:val="00522C7E"/>
    <w:rsid w:val="005245F7"/>
    <w:rsid w:val="00525C7D"/>
    <w:rsid w:val="00547B30"/>
    <w:rsid w:val="00560995"/>
    <w:rsid w:val="00564F5C"/>
    <w:rsid w:val="00566B8A"/>
    <w:rsid w:val="0056783C"/>
    <w:rsid w:val="00576718"/>
    <w:rsid w:val="005854A2"/>
    <w:rsid w:val="00587E0D"/>
    <w:rsid w:val="005925F2"/>
    <w:rsid w:val="00597611"/>
    <w:rsid w:val="005A44E1"/>
    <w:rsid w:val="005C76D6"/>
    <w:rsid w:val="005D5E10"/>
    <w:rsid w:val="005E4DBB"/>
    <w:rsid w:val="005E6774"/>
    <w:rsid w:val="005F4EC2"/>
    <w:rsid w:val="005F706B"/>
    <w:rsid w:val="00602F5B"/>
    <w:rsid w:val="006038C8"/>
    <w:rsid w:val="006134D6"/>
    <w:rsid w:val="00617D56"/>
    <w:rsid w:val="0062501E"/>
    <w:rsid w:val="00630853"/>
    <w:rsid w:val="00631B3C"/>
    <w:rsid w:val="00637118"/>
    <w:rsid w:val="0063752A"/>
    <w:rsid w:val="00647467"/>
    <w:rsid w:val="00647486"/>
    <w:rsid w:val="00650C72"/>
    <w:rsid w:val="00654D9C"/>
    <w:rsid w:val="006615C2"/>
    <w:rsid w:val="00662563"/>
    <w:rsid w:val="00662DDA"/>
    <w:rsid w:val="00666FD3"/>
    <w:rsid w:val="00674BAE"/>
    <w:rsid w:val="00675823"/>
    <w:rsid w:val="00692B7B"/>
    <w:rsid w:val="006A2C6F"/>
    <w:rsid w:val="006A3AE3"/>
    <w:rsid w:val="006D4F6C"/>
    <w:rsid w:val="006E620E"/>
    <w:rsid w:val="007057ED"/>
    <w:rsid w:val="0071048E"/>
    <w:rsid w:val="00712F3D"/>
    <w:rsid w:val="007210FD"/>
    <w:rsid w:val="00721FD8"/>
    <w:rsid w:val="0072266F"/>
    <w:rsid w:val="00723929"/>
    <w:rsid w:val="00731615"/>
    <w:rsid w:val="007319DA"/>
    <w:rsid w:val="007332C4"/>
    <w:rsid w:val="00741EBD"/>
    <w:rsid w:val="00750925"/>
    <w:rsid w:val="007539BE"/>
    <w:rsid w:val="00753EA7"/>
    <w:rsid w:val="007660F7"/>
    <w:rsid w:val="007700C7"/>
    <w:rsid w:val="007705B3"/>
    <w:rsid w:val="007717B7"/>
    <w:rsid w:val="00776056"/>
    <w:rsid w:val="00782CE6"/>
    <w:rsid w:val="00782EF3"/>
    <w:rsid w:val="00786275"/>
    <w:rsid w:val="00797ED6"/>
    <w:rsid w:val="007B021D"/>
    <w:rsid w:val="007C2929"/>
    <w:rsid w:val="007C532D"/>
    <w:rsid w:val="007E4056"/>
    <w:rsid w:val="007F2F4A"/>
    <w:rsid w:val="007F38FB"/>
    <w:rsid w:val="00814556"/>
    <w:rsid w:val="0081617E"/>
    <w:rsid w:val="008227C4"/>
    <w:rsid w:val="00823487"/>
    <w:rsid w:val="00824D31"/>
    <w:rsid w:val="008435B1"/>
    <w:rsid w:val="00843F01"/>
    <w:rsid w:val="00845B3D"/>
    <w:rsid w:val="00857E87"/>
    <w:rsid w:val="00857FC2"/>
    <w:rsid w:val="008678DB"/>
    <w:rsid w:val="00870817"/>
    <w:rsid w:val="008749BD"/>
    <w:rsid w:val="00874CC1"/>
    <w:rsid w:val="0088303B"/>
    <w:rsid w:val="00885CB4"/>
    <w:rsid w:val="008869AD"/>
    <w:rsid w:val="00887D3A"/>
    <w:rsid w:val="00890145"/>
    <w:rsid w:val="0089241A"/>
    <w:rsid w:val="0089318A"/>
    <w:rsid w:val="00894ECF"/>
    <w:rsid w:val="0089750D"/>
    <w:rsid w:val="008A123A"/>
    <w:rsid w:val="008A1606"/>
    <w:rsid w:val="008A2013"/>
    <w:rsid w:val="008A774A"/>
    <w:rsid w:val="008B3B75"/>
    <w:rsid w:val="008E2F48"/>
    <w:rsid w:val="00911D6A"/>
    <w:rsid w:val="00924EC1"/>
    <w:rsid w:val="00931710"/>
    <w:rsid w:val="0094199B"/>
    <w:rsid w:val="00942DF6"/>
    <w:rsid w:val="00953F89"/>
    <w:rsid w:val="00954DD5"/>
    <w:rsid w:val="00956C20"/>
    <w:rsid w:val="009574E8"/>
    <w:rsid w:val="0096695E"/>
    <w:rsid w:val="00974B20"/>
    <w:rsid w:val="00980874"/>
    <w:rsid w:val="00993233"/>
    <w:rsid w:val="009932EB"/>
    <w:rsid w:val="00994ED0"/>
    <w:rsid w:val="009956EC"/>
    <w:rsid w:val="00997454"/>
    <w:rsid w:val="00997CAF"/>
    <w:rsid w:val="009A1BB2"/>
    <w:rsid w:val="009A510E"/>
    <w:rsid w:val="009B0062"/>
    <w:rsid w:val="009B5B60"/>
    <w:rsid w:val="009B6340"/>
    <w:rsid w:val="009C60B7"/>
    <w:rsid w:val="009C67F4"/>
    <w:rsid w:val="009C77C6"/>
    <w:rsid w:val="009E22FF"/>
    <w:rsid w:val="009F158E"/>
    <w:rsid w:val="009F4FFB"/>
    <w:rsid w:val="009F708A"/>
    <w:rsid w:val="00A016A2"/>
    <w:rsid w:val="00A046F3"/>
    <w:rsid w:val="00A059DA"/>
    <w:rsid w:val="00A07334"/>
    <w:rsid w:val="00A13693"/>
    <w:rsid w:val="00A22F45"/>
    <w:rsid w:val="00A24928"/>
    <w:rsid w:val="00A34605"/>
    <w:rsid w:val="00A52D69"/>
    <w:rsid w:val="00A57C1A"/>
    <w:rsid w:val="00A64AEA"/>
    <w:rsid w:val="00A669D6"/>
    <w:rsid w:val="00A867D8"/>
    <w:rsid w:val="00A91BBC"/>
    <w:rsid w:val="00A977C4"/>
    <w:rsid w:val="00AA20EF"/>
    <w:rsid w:val="00AB0357"/>
    <w:rsid w:val="00AB2FA1"/>
    <w:rsid w:val="00AC1E85"/>
    <w:rsid w:val="00AC23B0"/>
    <w:rsid w:val="00AD277D"/>
    <w:rsid w:val="00AE1D0D"/>
    <w:rsid w:val="00AE2BE6"/>
    <w:rsid w:val="00AE429F"/>
    <w:rsid w:val="00B008B2"/>
    <w:rsid w:val="00B00C3B"/>
    <w:rsid w:val="00B0443C"/>
    <w:rsid w:val="00B143E6"/>
    <w:rsid w:val="00B16A08"/>
    <w:rsid w:val="00B306A1"/>
    <w:rsid w:val="00B34E86"/>
    <w:rsid w:val="00B438B0"/>
    <w:rsid w:val="00B44237"/>
    <w:rsid w:val="00B471C8"/>
    <w:rsid w:val="00B52B49"/>
    <w:rsid w:val="00B5359B"/>
    <w:rsid w:val="00B625AF"/>
    <w:rsid w:val="00B64738"/>
    <w:rsid w:val="00B72C5B"/>
    <w:rsid w:val="00B92C79"/>
    <w:rsid w:val="00B9314C"/>
    <w:rsid w:val="00B94850"/>
    <w:rsid w:val="00B94BC3"/>
    <w:rsid w:val="00B94E2F"/>
    <w:rsid w:val="00B95DA1"/>
    <w:rsid w:val="00B97296"/>
    <w:rsid w:val="00BB1DFF"/>
    <w:rsid w:val="00BB381F"/>
    <w:rsid w:val="00BB4D4A"/>
    <w:rsid w:val="00BB7317"/>
    <w:rsid w:val="00BC10A1"/>
    <w:rsid w:val="00BC30FA"/>
    <w:rsid w:val="00BE0C56"/>
    <w:rsid w:val="00BE0DA4"/>
    <w:rsid w:val="00BE2581"/>
    <w:rsid w:val="00BE29F0"/>
    <w:rsid w:val="00BE3BC2"/>
    <w:rsid w:val="00BE5ECC"/>
    <w:rsid w:val="00BE7C17"/>
    <w:rsid w:val="00BE7E6C"/>
    <w:rsid w:val="00BF69AA"/>
    <w:rsid w:val="00C102FF"/>
    <w:rsid w:val="00C11257"/>
    <w:rsid w:val="00C24EDA"/>
    <w:rsid w:val="00C25F4C"/>
    <w:rsid w:val="00C45120"/>
    <w:rsid w:val="00C476D8"/>
    <w:rsid w:val="00C51FF9"/>
    <w:rsid w:val="00C57A03"/>
    <w:rsid w:val="00C6045C"/>
    <w:rsid w:val="00C6307A"/>
    <w:rsid w:val="00C664E5"/>
    <w:rsid w:val="00C754A3"/>
    <w:rsid w:val="00C75CB9"/>
    <w:rsid w:val="00CB43BC"/>
    <w:rsid w:val="00CB54CB"/>
    <w:rsid w:val="00CC15BB"/>
    <w:rsid w:val="00CC24D8"/>
    <w:rsid w:val="00CD2744"/>
    <w:rsid w:val="00CD5715"/>
    <w:rsid w:val="00CD7EC2"/>
    <w:rsid w:val="00CE6E1A"/>
    <w:rsid w:val="00CF091C"/>
    <w:rsid w:val="00CF17A4"/>
    <w:rsid w:val="00D00D8D"/>
    <w:rsid w:val="00D16747"/>
    <w:rsid w:val="00D16ED9"/>
    <w:rsid w:val="00D20C45"/>
    <w:rsid w:val="00D22790"/>
    <w:rsid w:val="00D232BE"/>
    <w:rsid w:val="00D2478E"/>
    <w:rsid w:val="00D366F8"/>
    <w:rsid w:val="00D44BAA"/>
    <w:rsid w:val="00D4536C"/>
    <w:rsid w:val="00D5794F"/>
    <w:rsid w:val="00D65664"/>
    <w:rsid w:val="00D65837"/>
    <w:rsid w:val="00D658D7"/>
    <w:rsid w:val="00D966A0"/>
    <w:rsid w:val="00D977F0"/>
    <w:rsid w:val="00DA0850"/>
    <w:rsid w:val="00DB3707"/>
    <w:rsid w:val="00DB3BD9"/>
    <w:rsid w:val="00DB5620"/>
    <w:rsid w:val="00DC0EE2"/>
    <w:rsid w:val="00DC3E9C"/>
    <w:rsid w:val="00DD08C1"/>
    <w:rsid w:val="00DD215C"/>
    <w:rsid w:val="00DE0F6A"/>
    <w:rsid w:val="00DE104E"/>
    <w:rsid w:val="00DE2FFC"/>
    <w:rsid w:val="00DF6798"/>
    <w:rsid w:val="00E05F81"/>
    <w:rsid w:val="00E16350"/>
    <w:rsid w:val="00E20EC8"/>
    <w:rsid w:val="00E23BC0"/>
    <w:rsid w:val="00E27642"/>
    <w:rsid w:val="00E30D5E"/>
    <w:rsid w:val="00E36508"/>
    <w:rsid w:val="00E50871"/>
    <w:rsid w:val="00E521E0"/>
    <w:rsid w:val="00E60945"/>
    <w:rsid w:val="00E63EE6"/>
    <w:rsid w:val="00E71A91"/>
    <w:rsid w:val="00E74E85"/>
    <w:rsid w:val="00E85134"/>
    <w:rsid w:val="00E85CFC"/>
    <w:rsid w:val="00E9084E"/>
    <w:rsid w:val="00E91214"/>
    <w:rsid w:val="00E91D52"/>
    <w:rsid w:val="00EA6812"/>
    <w:rsid w:val="00EA7444"/>
    <w:rsid w:val="00EB39D7"/>
    <w:rsid w:val="00EB538C"/>
    <w:rsid w:val="00EB54EB"/>
    <w:rsid w:val="00EC2238"/>
    <w:rsid w:val="00EC30BE"/>
    <w:rsid w:val="00EF60F5"/>
    <w:rsid w:val="00F013CF"/>
    <w:rsid w:val="00F03418"/>
    <w:rsid w:val="00F23BD7"/>
    <w:rsid w:val="00F32B81"/>
    <w:rsid w:val="00F354D9"/>
    <w:rsid w:val="00F4310C"/>
    <w:rsid w:val="00F43979"/>
    <w:rsid w:val="00F44CAF"/>
    <w:rsid w:val="00F66117"/>
    <w:rsid w:val="00FA3D8F"/>
    <w:rsid w:val="00FA42DA"/>
    <w:rsid w:val="00FB0012"/>
    <w:rsid w:val="00FB4728"/>
    <w:rsid w:val="00FC0BD3"/>
    <w:rsid w:val="00FC6B1D"/>
    <w:rsid w:val="00FC763F"/>
    <w:rsid w:val="00FE2B98"/>
    <w:rsid w:val="00FF074D"/>
    <w:rsid w:val="015C10CA"/>
    <w:rsid w:val="01C577F8"/>
    <w:rsid w:val="02187275"/>
    <w:rsid w:val="034C69BE"/>
    <w:rsid w:val="04661FCE"/>
    <w:rsid w:val="04670D28"/>
    <w:rsid w:val="04F45052"/>
    <w:rsid w:val="05732C2D"/>
    <w:rsid w:val="05DA4CF5"/>
    <w:rsid w:val="0698676D"/>
    <w:rsid w:val="06B57256"/>
    <w:rsid w:val="06DA4F1A"/>
    <w:rsid w:val="077E33BD"/>
    <w:rsid w:val="07E946BD"/>
    <w:rsid w:val="08832722"/>
    <w:rsid w:val="08AE3E41"/>
    <w:rsid w:val="094245D0"/>
    <w:rsid w:val="095960BA"/>
    <w:rsid w:val="099E67AB"/>
    <w:rsid w:val="099F32A5"/>
    <w:rsid w:val="09F73AF4"/>
    <w:rsid w:val="0A980730"/>
    <w:rsid w:val="0AF635E0"/>
    <w:rsid w:val="0B0E1992"/>
    <w:rsid w:val="0B9142FA"/>
    <w:rsid w:val="0BC226B2"/>
    <w:rsid w:val="0C2E0848"/>
    <w:rsid w:val="0CE96425"/>
    <w:rsid w:val="0DAE6468"/>
    <w:rsid w:val="0DED6104"/>
    <w:rsid w:val="0E607AEF"/>
    <w:rsid w:val="0E6E73D3"/>
    <w:rsid w:val="0EBB209F"/>
    <w:rsid w:val="10434DDD"/>
    <w:rsid w:val="10CF058B"/>
    <w:rsid w:val="11271283"/>
    <w:rsid w:val="11AA0AE1"/>
    <w:rsid w:val="11D4475C"/>
    <w:rsid w:val="121918B2"/>
    <w:rsid w:val="13870A8E"/>
    <w:rsid w:val="13BE06CD"/>
    <w:rsid w:val="13FF6BFC"/>
    <w:rsid w:val="142F1209"/>
    <w:rsid w:val="14551A16"/>
    <w:rsid w:val="145D76E5"/>
    <w:rsid w:val="1462558B"/>
    <w:rsid w:val="14833865"/>
    <w:rsid w:val="149B56E4"/>
    <w:rsid w:val="14F13379"/>
    <w:rsid w:val="163102AE"/>
    <w:rsid w:val="163766AD"/>
    <w:rsid w:val="167552AD"/>
    <w:rsid w:val="175270C9"/>
    <w:rsid w:val="175E7C88"/>
    <w:rsid w:val="184E7177"/>
    <w:rsid w:val="18781FE3"/>
    <w:rsid w:val="18E71D41"/>
    <w:rsid w:val="19122081"/>
    <w:rsid w:val="19302330"/>
    <w:rsid w:val="19DD32A6"/>
    <w:rsid w:val="1A9F2CAB"/>
    <w:rsid w:val="1BAA2F27"/>
    <w:rsid w:val="1C2D1FF3"/>
    <w:rsid w:val="1C3A0739"/>
    <w:rsid w:val="1D5531AB"/>
    <w:rsid w:val="1DE13485"/>
    <w:rsid w:val="1DEC4C11"/>
    <w:rsid w:val="1E1069FC"/>
    <w:rsid w:val="1E642262"/>
    <w:rsid w:val="1E953682"/>
    <w:rsid w:val="1E9A4942"/>
    <w:rsid w:val="1EA746E0"/>
    <w:rsid w:val="1EAD78AB"/>
    <w:rsid w:val="1F354938"/>
    <w:rsid w:val="2030401C"/>
    <w:rsid w:val="20AE009A"/>
    <w:rsid w:val="210E3F7D"/>
    <w:rsid w:val="21571002"/>
    <w:rsid w:val="2250044B"/>
    <w:rsid w:val="22B65153"/>
    <w:rsid w:val="22CB076E"/>
    <w:rsid w:val="22F94D98"/>
    <w:rsid w:val="23A408F1"/>
    <w:rsid w:val="241B3B53"/>
    <w:rsid w:val="24C25E26"/>
    <w:rsid w:val="24F45EB4"/>
    <w:rsid w:val="24FF64A9"/>
    <w:rsid w:val="26F05ECA"/>
    <w:rsid w:val="26FC793A"/>
    <w:rsid w:val="276314AE"/>
    <w:rsid w:val="2775643F"/>
    <w:rsid w:val="27C37E2F"/>
    <w:rsid w:val="281B21F2"/>
    <w:rsid w:val="28590AE6"/>
    <w:rsid w:val="288511C4"/>
    <w:rsid w:val="28877DE9"/>
    <w:rsid w:val="29641543"/>
    <w:rsid w:val="29BA0A27"/>
    <w:rsid w:val="2A3B6E05"/>
    <w:rsid w:val="2A8655FA"/>
    <w:rsid w:val="2AC75093"/>
    <w:rsid w:val="2B6219C4"/>
    <w:rsid w:val="2BBC6EDC"/>
    <w:rsid w:val="2BFE1125"/>
    <w:rsid w:val="2C2D4C4F"/>
    <w:rsid w:val="2C2F5BE6"/>
    <w:rsid w:val="2C5464A2"/>
    <w:rsid w:val="2C9828E2"/>
    <w:rsid w:val="2CAF7630"/>
    <w:rsid w:val="2D013E00"/>
    <w:rsid w:val="2D0F504D"/>
    <w:rsid w:val="2D380A39"/>
    <w:rsid w:val="2D5331F2"/>
    <w:rsid w:val="2D577D62"/>
    <w:rsid w:val="2DA74572"/>
    <w:rsid w:val="2DD87837"/>
    <w:rsid w:val="2E171499"/>
    <w:rsid w:val="2E6D387A"/>
    <w:rsid w:val="2EEB6627"/>
    <w:rsid w:val="2F9369A9"/>
    <w:rsid w:val="2FAC255D"/>
    <w:rsid w:val="2FFA3BC7"/>
    <w:rsid w:val="30471476"/>
    <w:rsid w:val="30675106"/>
    <w:rsid w:val="30832E02"/>
    <w:rsid w:val="30F83794"/>
    <w:rsid w:val="313D5864"/>
    <w:rsid w:val="313E7E1C"/>
    <w:rsid w:val="31C3269E"/>
    <w:rsid w:val="320001A0"/>
    <w:rsid w:val="322F006E"/>
    <w:rsid w:val="328B6DC8"/>
    <w:rsid w:val="32B42736"/>
    <w:rsid w:val="33767E65"/>
    <w:rsid w:val="337D2C4A"/>
    <w:rsid w:val="33B6084D"/>
    <w:rsid w:val="33EB07D8"/>
    <w:rsid w:val="342D6731"/>
    <w:rsid w:val="34AE6618"/>
    <w:rsid w:val="34C454A4"/>
    <w:rsid w:val="35093556"/>
    <w:rsid w:val="350A4F49"/>
    <w:rsid w:val="35496A3F"/>
    <w:rsid w:val="361A037F"/>
    <w:rsid w:val="36235CB5"/>
    <w:rsid w:val="365C16B2"/>
    <w:rsid w:val="366A44DF"/>
    <w:rsid w:val="36751975"/>
    <w:rsid w:val="373A60CE"/>
    <w:rsid w:val="37AE16BD"/>
    <w:rsid w:val="37C95E67"/>
    <w:rsid w:val="37D65DFB"/>
    <w:rsid w:val="381A77D0"/>
    <w:rsid w:val="387E1952"/>
    <w:rsid w:val="38AF33A0"/>
    <w:rsid w:val="390864B8"/>
    <w:rsid w:val="39240023"/>
    <w:rsid w:val="396705A1"/>
    <w:rsid w:val="396B23EA"/>
    <w:rsid w:val="3B9417FB"/>
    <w:rsid w:val="3BB14158"/>
    <w:rsid w:val="3BD35A29"/>
    <w:rsid w:val="3C43352A"/>
    <w:rsid w:val="3C5D47AE"/>
    <w:rsid w:val="3C6859CD"/>
    <w:rsid w:val="3C6D4036"/>
    <w:rsid w:val="3C8764BB"/>
    <w:rsid w:val="3D1F6011"/>
    <w:rsid w:val="3D392384"/>
    <w:rsid w:val="3D4422FB"/>
    <w:rsid w:val="3D5B2AF0"/>
    <w:rsid w:val="3DC14BB2"/>
    <w:rsid w:val="3DC52283"/>
    <w:rsid w:val="3EE71864"/>
    <w:rsid w:val="3F045C97"/>
    <w:rsid w:val="3F360173"/>
    <w:rsid w:val="3FBA7537"/>
    <w:rsid w:val="40015A71"/>
    <w:rsid w:val="400D27BF"/>
    <w:rsid w:val="4014383B"/>
    <w:rsid w:val="402074BC"/>
    <w:rsid w:val="402A0ADD"/>
    <w:rsid w:val="405D37D6"/>
    <w:rsid w:val="407C33E3"/>
    <w:rsid w:val="40E34C7D"/>
    <w:rsid w:val="4103626E"/>
    <w:rsid w:val="415C653A"/>
    <w:rsid w:val="418C0B5A"/>
    <w:rsid w:val="42296588"/>
    <w:rsid w:val="424C6AF3"/>
    <w:rsid w:val="427576FF"/>
    <w:rsid w:val="428803E3"/>
    <w:rsid w:val="42DB547B"/>
    <w:rsid w:val="42DC03B1"/>
    <w:rsid w:val="43341BFA"/>
    <w:rsid w:val="43AE650F"/>
    <w:rsid w:val="44AC13A7"/>
    <w:rsid w:val="44D50E0D"/>
    <w:rsid w:val="45BB07F2"/>
    <w:rsid w:val="45BB63E7"/>
    <w:rsid w:val="45D45A9C"/>
    <w:rsid w:val="45D96AA8"/>
    <w:rsid w:val="471D4A12"/>
    <w:rsid w:val="474E73E0"/>
    <w:rsid w:val="47BD1DA2"/>
    <w:rsid w:val="47DE2759"/>
    <w:rsid w:val="47F37505"/>
    <w:rsid w:val="48267F03"/>
    <w:rsid w:val="48410375"/>
    <w:rsid w:val="48410645"/>
    <w:rsid w:val="48722E30"/>
    <w:rsid w:val="4894562C"/>
    <w:rsid w:val="4896025D"/>
    <w:rsid w:val="48F915B2"/>
    <w:rsid w:val="493C5D28"/>
    <w:rsid w:val="49DF4441"/>
    <w:rsid w:val="4A542CA5"/>
    <w:rsid w:val="4AE7275B"/>
    <w:rsid w:val="4B007631"/>
    <w:rsid w:val="4B311C56"/>
    <w:rsid w:val="4B6754E9"/>
    <w:rsid w:val="4B6A408A"/>
    <w:rsid w:val="4BF74C9E"/>
    <w:rsid w:val="4BF90143"/>
    <w:rsid w:val="4C867D83"/>
    <w:rsid w:val="4CCA73AA"/>
    <w:rsid w:val="4E0F66AF"/>
    <w:rsid w:val="4E961AE7"/>
    <w:rsid w:val="4EC022C9"/>
    <w:rsid w:val="4EE022D2"/>
    <w:rsid w:val="4F596DBF"/>
    <w:rsid w:val="4F5F3579"/>
    <w:rsid w:val="4F607C1D"/>
    <w:rsid w:val="4F641178"/>
    <w:rsid w:val="50492F36"/>
    <w:rsid w:val="50617E1E"/>
    <w:rsid w:val="50801406"/>
    <w:rsid w:val="508C78CD"/>
    <w:rsid w:val="509C1A46"/>
    <w:rsid w:val="50AE13C7"/>
    <w:rsid w:val="50E14B43"/>
    <w:rsid w:val="517F02F4"/>
    <w:rsid w:val="51F21F8B"/>
    <w:rsid w:val="52C6592F"/>
    <w:rsid w:val="52E45DE3"/>
    <w:rsid w:val="530A70E7"/>
    <w:rsid w:val="541515C6"/>
    <w:rsid w:val="54842C63"/>
    <w:rsid w:val="54A72810"/>
    <w:rsid w:val="55B43865"/>
    <w:rsid w:val="55D614FA"/>
    <w:rsid w:val="55DD466F"/>
    <w:rsid w:val="55F315F0"/>
    <w:rsid w:val="56236218"/>
    <w:rsid w:val="565F6F0F"/>
    <w:rsid w:val="576B701A"/>
    <w:rsid w:val="57AA515E"/>
    <w:rsid w:val="57AD2C85"/>
    <w:rsid w:val="580763BE"/>
    <w:rsid w:val="586F2F6A"/>
    <w:rsid w:val="58F53428"/>
    <w:rsid w:val="5901200A"/>
    <w:rsid w:val="598A5F8E"/>
    <w:rsid w:val="59CB022B"/>
    <w:rsid w:val="5AD973F1"/>
    <w:rsid w:val="5AF96FAC"/>
    <w:rsid w:val="5B064E2F"/>
    <w:rsid w:val="5B3812AB"/>
    <w:rsid w:val="5B6929E3"/>
    <w:rsid w:val="5B887725"/>
    <w:rsid w:val="5BF8682E"/>
    <w:rsid w:val="5BFF6958"/>
    <w:rsid w:val="5C4B6666"/>
    <w:rsid w:val="5D444152"/>
    <w:rsid w:val="5D660135"/>
    <w:rsid w:val="5E427D0A"/>
    <w:rsid w:val="5E6135D4"/>
    <w:rsid w:val="5EA570E5"/>
    <w:rsid w:val="5EAC4BDC"/>
    <w:rsid w:val="5EAF2EB6"/>
    <w:rsid w:val="5F5E3C69"/>
    <w:rsid w:val="5FC93B50"/>
    <w:rsid w:val="608C74D6"/>
    <w:rsid w:val="60BE25EC"/>
    <w:rsid w:val="610E3866"/>
    <w:rsid w:val="614A59D9"/>
    <w:rsid w:val="616A3488"/>
    <w:rsid w:val="620F3E71"/>
    <w:rsid w:val="621D1468"/>
    <w:rsid w:val="62385ECC"/>
    <w:rsid w:val="627F49E1"/>
    <w:rsid w:val="62ED5834"/>
    <w:rsid w:val="63792E18"/>
    <w:rsid w:val="637E7044"/>
    <w:rsid w:val="64A33413"/>
    <w:rsid w:val="64B32939"/>
    <w:rsid w:val="64E266AB"/>
    <w:rsid w:val="64EA3B87"/>
    <w:rsid w:val="650D580D"/>
    <w:rsid w:val="65F478B7"/>
    <w:rsid w:val="661B5788"/>
    <w:rsid w:val="6632503F"/>
    <w:rsid w:val="667206BE"/>
    <w:rsid w:val="667B6247"/>
    <w:rsid w:val="671C6AD6"/>
    <w:rsid w:val="673913F2"/>
    <w:rsid w:val="67485256"/>
    <w:rsid w:val="677627FD"/>
    <w:rsid w:val="67CB50AA"/>
    <w:rsid w:val="68015612"/>
    <w:rsid w:val="68074854"/>
    <w:rsid w:val="68371E10"/>
    <w:rsid w:val="687B12C8"/>
    <w:rsid w:val="68B82538"/>
    <w:rsid w:val="68B86CD4"/>
    <w:rsid w:val="69440DC2"/>
    <w:rsid w:val="69772138"/>
    <w:rsid w:val="69F51DBB"/>
    <w:rsid w:val="6A15022D"/>
    <w:rsid w:val="6A723CD4"/>
    <w:rsid w:val="6B0717A2"/>
    <w:rsid w:val="6B504489"/>
    <w:rsid w:val="6BF56393"/>
    <w:rsid w:val="6C2D495F"/>
    <w:rsid w:val="6C5A5305"/>
    <w:rsid w:val="6C7B3C30"/>
    <w:rsid w:val="6D6C624E"/>
    <w:rsid w:val="6E254B34"/>
    <w:rsid w:val="6E2E6464"/>
    <w:rsid w:val="6E486439"/>
    <w:rsid w:val="6E8E2640"/>
    <w:rsid w:val="6E9E32BF"/>
    <w:rsid w:val="6ECD3BF1"/>
    <w:rsid w:val="6F4F4E63"/>
    <w:rsid w:val="6FB41D4C"/>
    <w:rsid w:val="6FFA3EF7"/>
    <w:rsid w:val="70CF36F5"/>
    <w:rsid w:val="71182DAB"/>
    <w:rsid w:val="71665E0C"/>
    <w:rsid w:val="718B3530"/>
    <w:rsid w:val="719954B2"/>
    <w:rsid w:val="71AC21E6"/>
    <w:rsid w:val="71D1424A"/>
    <w:rsid w:val="73154359"/>
    <w:rsid w:val="737F07AD"/>
    <w:rsid w:val="73EA69AB"/>
    <w:rsid w:val="748D6128"/>
    <w:rsid w:val="750143B8"/>
    <w:rsid w:val="750C20DF"/>
    <w:rsid w:val="757B1ED0"/>
    <w:rsid w:val="75E112D3"/>
    <w:rsid w:val="76251B8F"/>
    <w:rsid w:val="76AE4A52"/>
    <w:rsid w:val="76D97DD9"/>
    <w:rsid w:val="76E17C99"/>
    <w:rsid w:val="77016C42"/>
    <w:rsid w:val="77233CAF"/>
    <w:rsid w:val="78300A8D"/>
    <w:rsid w:val="78311C02"/>
    <w:rsid w:val="78BC1C08"/>
    <w:rsid w:val="796D79DD"/>
    <w:rsid w:val="798136CE"/>
    <w:rsid w:val="79B24B75"/>
    <w:rsid w:val="7A1B24A6"/>
    <w:rsid w:val="7A363A7C"/>
    <w:rsid w:val="7A3B1E1E"/>
    <w:rsid w:val="7AC9540B"/>
    <w:rsid w:val="7AE94708"/>
    <w:rsid w:val="7B0E73B5"/>
    <w:rsid w:val="7B33650E"/>
    <w:rsid w:val="7B4A0A0B"/>
    <w:rsid w:val="7C197015"/>
    <w:rsid w:val="7C3F0774"/>
    <w:rsid w:val="7CE2310C"/>
    <w:rsid w:val="7D175FE7"/>
    <w:rsid w:val="7D270424"/>
    <w:rsid w:val="7E1E4573"/>
    <w:rsid w:val="7E5A7F28"/>
    <w:rsid w:val="7E9A0330"/>
    <w:rsid w:val="7EDD5837"/>
    <w:rsid w:val="7FB335F1"/>
    <w:rsid w:val="7FFB6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仿宋" w:cstheme="minorBidi"/>
      <w:kern w:val="2"/>
      <w:sz w:val="28"/>
      <w:szCs w:val="24"/>
      <w:lang w:val="en-US" w:eastAsia="zh-CN" w:bidi="ar-SA"/>
    </w:rPr>
  </w:style>
  <w:style w:type="paragraph" w:styleId="2">
    <w:name w:val="heading 1"/>
    <w:basedOn w:val="1"/>
    <w:next w:val="1"/>
    <w:link w:val="18"/>
    <w:qFormat/>
    <w:uiPriority w:val="0"/>
    <w:pPr>
      <w:keepNext/>
      <w:keepLines/>
      <w:spacing w:before="120" w:after="120"/>
      <w:ind w:firstLine="0" w:firstLineChars="0"/>
      <w:jc w:val="center"/>
      <w:outlineLvl w:val="0"/>
    </w:pPr>
    <w:rPr>
      <w:rFonts w:eastAsia="黑体"/>
      <w:kern w:val="44"/>
      <w:sz w:val="44"/>
    </w:rPr>
  </w:style>
  <w:style w:type="paragraph" w:styleId="3">
    <w:name w:val="heading 2"/>
    <w:basedOn w:val="1"/>
    <w:next w:val="1"/>
    <w:link w:val="25"/>
    <w:unhideWhenUsed/>
    <w:qFormat/>
    <w:uiPriority w:val="9"/>
    <w:pPr>
      <w:keepNext/>
      <w:keepLines/>
      <w:spacing w:before="260" w:after="260" w:line="240" w:lineRule="auto"/>
      <w:ind w:firstLine="0" w:firstLineChars="0"/>
      <w:jc w:val="center"/>
      <w:outlineLvl w:val="1"/>
    </w:pPr>
    <w:rPr>
      <w:rFonts w:eastAsia="黑体" w:cstheme="majorBidi"/>
      <w:bCs/>
      <w:sz w:val="32"/>
      <w:szCs w:val="32"/>
    </w:rPr>
  </w:style>
  <w:style w:type="paragraph" w:styleId="4">
    <w:name w:val="heading 3"/>
    <w:basedOn w:val="1"/>
    <w:next w:val="1"/>
    <w:link w:val="26"/>
    <w:unhideWhenUsed/>
    <w:qFormat/>
    <w:uiPriority w:val="9"/>
    <w:pPr>
      <w:keepNext/>
      <w:keepLines/>
      <w:spacing w:before="260" w:after="260" w:line="240" w:lineRule="auto"/>
      <w:ind w:firstLine="0" w:firstLineChars="0"/>
      <w:jc w:val="left"/>
      <w:outlineLvl w:val="2"/>
    </w:pPr>
    <w:rPr>
      <w:b/>
      <w:bCs/>
      <w:sz w:val="30"/>
      <w:szCs w:val="32"/>
    </w:rPr>
  </w:style>
  <w:style w:type="paragraph" w:styleId="5">
    <w:name w:val="heading 4"/>
    <w:basedOn w:val="1"/>
    <w:next w:val="1"/>
    <w:link w:val="33"/>
    <w:unhideWhenUsed/>
    <w:qFormat/>
    <w:uiPriority w:val="9"/>
    <w:pPr>
      <w:keepNext/>
      <w:keepLines/>
      <w:outlineLvl w:val="3"/>
    </w:pPr>
    <w:rPr>
      <w:rFonts w:cstheme="majorBidi"/>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right" w:leader="dot" w:pos="8296"/>
      </w:tabs>
      <w:spacing w:line="240" w:lineRule="auto"/>
      <w:ind w:left="560" w:leftChars="200" w:firstLine="0" w:firstLineChars="0"/>
    </w:pPr>
  </w:style>
  <w:style w:type="paragraph" w:styleId="7">
    <w:name w:val="footer"/>
    <w:basedOn w:val="1"/>
    <w:link w:val="20"/>
    <w:unhideWhenUsed/>
    <w:qFormat/>
    <w:uiPriority w:val="99"/>
    <w:pPr>
      <w:tabs>
        <w:tab w:val="center" w:pos="4153"/>
        <w:tab w:val="right" w:pos="8306"/>
      </w:tabs>
      <w:spacing w:line="240" w:lineRule="auto"/>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9">
    <w:name w:val="toc 1"/>
    <w:basedOn w:val="1"/>
    <w:next w:val="1"/>
    <w:unhideWhenUsed/>
    <w:qFormat/>
    <w:uiPriority w:val="39"/>
    <w:pPr>
      <w:tabs>
        <w:tab w:val="right" w:leader="dot" w:pos="8296"/>
      </w:tabs>
      <w:spacing w:before="156" w:beforeLines="50" w:line="500" w:lineRule="exact"/>
      <w:ind w:firstLine="0" w:firstLineChars="0"/>
    </w:pPr>
  </w:style>
  <w:style w:type="paragraph" w:styleId="10">
    <w:name w:val="toc 2"/>
    <w:basedOn w:val="1"/>
    <w:next w:val="1"/>
    <w:unhideWhenUsed/>
    <w:qFormat/>
    <w:uiPriority w:val="39"/>
    <w:pPr>
      <w:tabs>
        <w:tab w:val="right" w:leader="dot" w:pos="8296"/>
      </w:tabs>
      <w:spacing w:line="400" w:lineRule="exact"/>
      <w:ind w:left="280" w:leftChars="100" w:firstLine="0" w:firstLineChars="0"/>
    </w:pPr>
  </w:style>
  <w:style w:type="paragraph" w:styleId="11">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semiHidden/>
    <w:unhideWhenUsed/>
    <w:qFormat/>
    <w:uiPriority w:val="99"/>
    <w:rPr>
      <w:color w:val="222222"/>
      <w:u w:val="none"/>
    </w:rPr>
  </w:style>
  <w:style w:type="character" w:styleId="16">
    <w:name w:val="Emphasis"/>
    <w:basedOn w:val="14"/>
    <w:qFormat/>
    <w:uiPriority w:val="20"/>
    <w:rPr>
      <w:color w:val="222222"/>
      <w:u w:val="none"/>
    </w:rPr>
  </w:style>
  <w:style w:type="character" w:styleId="17">
    <w:name w:val="Hyperlink"/>
    <w:basedOn w:val="14"/>
    <w:unhideWhenUsed/>
    <w:qFormat/>
    <w:uiPriority w:val="99"/>
    <w:rPr>
      <w:color w:val="0563C1" w:themeColor="hyperlink"/>
      <w:u w:val="single"/>
      <w14:textFill>
        <w14:solidFill>
          <w14:schemeClr w14:val="hlink"/>
        </w14:solidFill>
      </w14:textFill>
    </w:rPr>
  </w:style>
  <w:style w:type="character" w:customStyle="1" w:styleId="18">
    <w:name w:val="标题 1 Char"/>
    <w:basedOn w:val="14"/>
    <w:link w:val="2"/>
    <w:qFormat/>
    <w:uiPriority w:val="0"/>
    <w:rPr>
      <w:rFonts w:ascii="Times New Roman" w:hAnsi="Times New Roman" w:eastAsia="黑体"/>
      <w:kern w:val="44"/>
      <w:sz w:val="44"/>
      <w:szCs w:val="24"/>
    </w:rPr>
  </w:style>
  <w:style w:type="character" w:customStyle="1" w:styleId="19">
    <w:name w:val="页眉 Char"/>
    <w:basedOn w:val="14"/>
    <w:link w:val="8"/>
    <w:qFormat/>
    <w:uiPriority w:val="99"/>
    <w:rPr>
      <w:rFonts w:ascii="Times New Roman" w:hAnsi="Times New Roman" w:eastAsia="仿宋"/>
      <w:sz w:val="18"/>
      <w:szCs w:val="18"/>
    </w:rPr>
  </w:style>
  <w:style w:type="character" w:customStyle="1" w:styleId="20">
    <w:name w:val="页脚 Char"/>
    <w:basedOn w:val="14"/>
    <w:link w:val="7"/>
    <w:qFormat/>
    <w:uiPriority w:val="99"/>
    <w:rPr>
      <w:rFonts w:ascii="Times New Roman" w:hAnsi="Times New Roman" w:eastAsia="仿宋"/>
      <w:sz w:val="18"/>
      <w:szCs w:val="18"/>
    </w:rPr>
  </w:style>
  <w:style w:type="character" w:customStyle="1" w:styleId="21">
    <w:name w:val="段 Char Char"/>
    <w:link w:val="22"/>
    <w:qFormat/>
    <w:uiPriority w:val="0"/>
    <w:rPr>
      <w:rFonts w:ascii="宋体"/>
    </w:rPr>
  </w:style>
  <w:style w:type="paragraph" w:customStyle="1" w:styleId="22">
    <w:name w:val="段"/>
    <w:link w:val="21"/>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23">
    <w:name w:val="附录章标题"/>
    <w:next w:val="22"/>
    <w:qFormat/>
    <w:uiPriority w:val="0"/>
    <w:pPr>
      <w:numPr>
        <w:ilvl w:val="1"/>
        <w:numId w:val="1"/>
      </w:numPr>
      <w:tabs>
        <w:tab w:val="left" w:pos="360"/>
      </w:tabs>
      <w:wordWrap w:val="0"/>
      <w:overflowPunct w:val="0"/>
      <w:autoSpaceDE w:val="0"/>
      <w:spacing w:before="312" w:beforeLines="100" w:after="312" w:afterLines="100"/>
      <w:ind w:left="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24">
    <w:name w:val="附录标识"/>
    <w:basedOn w:val="1"/>
    <w:next w:val="22"/>
    <w:qFormat/>
    <w:uiPriority w:val="0"/>
    <w:pPr>
      <w:keepNext/>
      <w:widowControl/>
      <w:numPr>
        <w:ilvl w:val="0"/>
        <w:numId w:val="1"/>
      </w:numPr>
      <w:shd w:val="clear" w:color="FFFFFF" w:fill="FFFFFF"/>
      <w:tabs>
        <w:tab w:val="left" w:pos="360"/>
        <w:tab w:val="left" w:pos="6405"/>
      </w:tabs>
      <w:adjustRightInd/>
      <w:snapToGrid/>
      <w:spacing w:before="640" w:after="280" w:line="240" w:lineRule="auto"/>
      <w:ind w:firstLineChars="0"/>
      <w:jc w:val="center"/>
      <w:outlineLvl w:val="0"/>
    </w:pPr>
    <w:rPr>
      <w:rFonts w:ascii="黑体" w:eastAsia="黑体" w:cs="Times New Roman"/>
      <w:kern w:val="0"/>
      <w:sz w:val="21"/>
      <w:szCs w:val="20"/>
    </w:rPr>
  </w:style>
  <w:style w:type="character" w:customStyle="1" w:styleId="25">
    <w:name w:val="标题 2 Char"/>
    <w:basedOn w:val="14"/>
    <w:link w:val="3"/>
    <w:qFormat/>
    <w:uiPriority w:val="9"/>
    <w:rPr>
      <w:rFonts w:ascii="Times New Roman" w:hAnsi="Times New Roman" w:eastAsia="黑体" w:cstheme="majorBidi"/>
      <w:bCs/>
      <w:sz w:val="32"/>
      <w:szCs w:val="32"/>
    </w:rPr>
  </w:style>
  <w:style w:type="character" w:customStyle="1" w:styleId="26">
    <w:name w:val="标题 3 Char"/>
    <w:basedOn w:val="14"/>
    <w:link w:val="4"/>
    <w:qFormat/>
    <w:uiPriority w:val="9"/>
    <w:rPr>
      <w:rFonts w:ascii="Times New Roman" w:hAnsi="Times New Roman" w:eastAsia="仿宋"/>
      <w:b/>
      <w:bCs/>
      <w:sz w:val="30"/>
      <w:szCs w:val="32"/>
    </w:rPr>
  </w:style>
  <w:style w:type="character" w:customStyle="1" w:styleId="27">
    <w:name w:val="样式 (中文) BatangChe 四号 蓝色"/>
    <w:basedOn w:val="14"/>
    <w:qFormat/>
    <w:uiPriority w:val="99"/>
    <w:rPr>
      <w:rFonts w:ascii="Times New Roman" w:hAnsi="Times New Roman" w:eastAsia="楷体" w:cs="Times New Roman"/>
      <w:color w:val="0000FF"/>
      <w:sz w:val="28"/>
      <w:szCs w:val="28"/>
    </w:rPr>
  </w:style>
  <w:style w:type="paragraph" w:customStyle="1" w:styleId="28">
    <w:name w:val="样式 标题 3 + 自动设置"/>
    <w:basedOn w:val="4"/>
    <w:qFormat/>
    <w:uiPriority w:val="99"/>
    <w:pPr>
      <w:spacing w:before="0" w:beforeLines="50" w:after="0" w:afterLines="50"/>
      <w:jc w:val="both"/>
    </w:pPr>
    <w:rPr>
      <w:rFonts w:eastAsia="华文中宋" w:cs="Times New Roman"/>
      <w:kern w:val="0"/>
      <w:sz w:val="28"/>
      <w:szCs w:val="28"/>
    </w:rPr>
  </w:style>
  <w:style w:type="paragraph" w:customStyle="1" w:styleId="29">
    <w:name w:val="章标题"/>
    <w:next w:val="22"/>
    <w:qFormat/>
    <w:uiPriority w:val="0"/>
    <w:pPr>
      <w:numPr>
        <w:ilvl w:val="0"/>
        <w:numId w:val="2"/>
      </w:num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30">
    <w:name w:val="二级条标题"/>
    <w:basedOn w:val="1"/>
    <w:next w:val="22"/>
    <w:qFormat/>
    <w:uiPriority w:val="0"/>
    <w:pPr>
      <w:widowControl/>
      <w:numPr>
        <w:ilvl w:val="2"/>
        <w:numId w:val="2"/>
      </w:numPr>
      <w:adjustRightInd/>
      <w:snapToGrid/>
      <w:spacing w:before="50" w:after="50" w:line="240" w:lineRule="auto"/>
      <w:ind w:firstLine="0" w:firstLineChars="0"/>
      <w:jc w:val="left"/>
      <w:outlineLvl w:val="3"/>
    </w:pPr>
    <w:rPr>
      <w:rFonts w:ascii="黑体" w:eastAsia="黑体" w:cs="Times New Roman"/>
      <w:kern w:val="0"/>
      <w:sz w:val="21"/>
      <w:szCs w:val="21"/>
    </w:rPr>
  </w:style>
  <w:style w:type="paragraph" w:customStyle="1" w:styleId="31">
    <w:name w:val="三级条标题"/>
    <w:basedOn w:val="30"/>
    <w:next w:val="22"/>
    <w:qFormat/>
    <w:uiPriority w:val="0"/>
    <w:pPr>
      <w:numPr>
        <w:ilvl w:val="3"/>
      </w:numPr>
      <w:outlineLvl w:val="4"/>
    </w:pPr>
  </w:style>
  <w:style w:type="paragraph" w:customStyle="1" w:styleId="32">
    <w:name w:val="字母编号列项（一级）"/>
    <w:qFormat/>
    <w:uiPriority w:val="0"/>
    <w:pPr>
      <w:numPr>
        <w:ilvl w:val="0"/>
        <w:numId w:val="3"/>
      </w:numPr>
      <w:tabs>
        <w:tab w:val="left" w:pos="839"/>
      </w:tabs>
      <w:jc w:val="both"/>
    </w:pPr>
    <w:rPr>
      <w:rFonts w:ascii="宋体" w:hAnsi="Times New Roman" w:eastAsia="宋体" w:cs="Times New Roman"/>
      <w:kern w:val="0"/>
      <w:sz w:val="21"/>
      <w:szCs w:val="20"/>
      <w:lang w:val="en-US" w:eastAsia="zh-CN" w:bidi="ar-SA"/>
    </w:rPr>
  </w:style>
  <w:style w:type="character" w:customStyle="1" w:styleId="33">
    <w:name w:val="标题 4 Char"/>
    <w:basedOn w:val="14"/>
    <w:link w:val="5"/>
    <w:qFormat/>
    <w:uiPriority w:val="9"/>
    <w:rPr>
      <w:rFonts w:ascii="Times New Roman" w:hAnsi="Times New Roman" w:eastAsia="仿宋" w:cstheme="majorBidi"/>
      <w:b/>
      <w:bCs/>
      <w:sz w:val="28"/>
      <w:szCs w:val="28"/>
    </w:rPr>
  </w:style>
  <w:style w:type="paragraph" w:customStyle="1" w:styleId="34">
    <w:name w:val="TOC Heading"/>
    <w:basedOn w:val="2"/>
    <w:next w:val="1"/>
    <w:unhideWhenUsed/>
    <w:qFormat/>
    <w:uiPriority w:val="39"/>
    <w:pPr>
      <w:widowControl/>
      <w:adjustRightInd/>
      <w:snapToGrid/>
      <w:spacing w:before="240" w:after="0" w:line="259" w:lineRule="auto"/>
      <w:jc w:val="left"/>
      <w:outlineLvl w:val="9"/>
    </w:pPr>
    <w:rPr>
      <w:rFonts w:asciiTheme="majorHAnsi" w:hAnsiTheme="majorHAnsi" w:eastAsiaTheme="majorEastAsia" w:cstheme="majorBidi"/>
      <w:color w:val="2E75B6" w:themeColor="accent1" w:themeShade="BF"/>
      <w:kern w:val="0"/>
      <w:sz w:val="32"/>
      <w:szCs w:val="32"/>
    </w:rPr>
  </w:style>
  <w:style w:type="paragraph" w:styleId="35">
    <w:name w:val="No Spacing"/>
    <w:link w:val="36"/>
    <w:qFormat/>
    <w:uiPriority w:val="1"/>
    <w:rPr>
      <w:rFonts w:asciiTheme="minorHAnsi" w:hAnsiTheme="minorHAnsi" w:eastAsiaTheme="minorEastAsia" w:cstheme="minorBidi"/>
      <w:kern w:val="0"/>
      <w:sz w:val="22"/>
      <w:szCs w:val="22"/>
      <w:lang w:val="en-US" w:eastAsia="zh-CN" w:bidi="ar-SA"/>
    </w:rPr>
  </w:style>
  <w:style w:type="character" w:customStyle="1" w:styleId="36">
    <w:name w:val="无间隔 Char"/>
    <w:basedOn w:val="14"/>
    <w:link w:val="35"/>
    <w:qFormat/>
    <w:uiPriority w:val="1"/>
    <w:rPr>
      <w:kern w:val="0"/>
      <w:sz w:val="22"/>
    </w:rPr>
  </w:style>
  <w:style w:type="paragraph" w:customStyle="1" w:styleId="37">
    <w:name w:val="正文表标题"/>
    <w:next w:val="1"/>
    <w:qFormat/>
    <w:uiPriority w:val="0"/>
    <w:pPr>
      <w:numPr>
        <w:ilvl w:val="0"/>
        <w:numId w:val="4"/>
      </w:numPr>
      <w:tabs>
        <w:tab w:val="left" w:pos="360"/>
      </w:tabs>
      <w:spacing w:before="156" w:beforeLines="50" w:after="156" w:afterLines="50"/>
      <w:ind w:left="4962"/>
      <w:jc w:val="center"/>
    </w:pPr>
    <w:rPr>
      <w:rFonts w:ascii="黑体" w:hAnsi="Times New Roman" w:eastAsia="黑体" w:cs="Times New Roman"/>
      <w:kern w:val="0"/>
      <w:sz w:val="21"/>
      <w:szCs w:val="20"/>
      <w:lang w:val="en-US" w:eastAsia="zh-CN" w:bidi="ar-SA"/>
    </w:rPr>
  </w:style>
  <w:style w:type="paragraph" w:customStyle="1" w:styleId="38">
    <w:name w:val="一级条标题"/>
    <w:next w:val="22"/>
    <w:qFormat/>
    <w:uiPriority w:val="0"/>
    <w:pPr>
      <w:numPr>
        <w:ilvl w:val="1"/>
        <w:numId w:val="2"/>
      </w:num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39">
    <w:name w:val="样式 样式 标题 2 + (西文) Times New Roman (中文) BatangChe + 自动设置"/>
    <w:basedOn w:val="40"/>
    <w:qFormat/>
    <w:uiPriority w:val="99"/>
    <w:pPr>
      <w:adjustRightInd w:val="0"/>
      <w:snapToGrid w:val="0"/>
      <w:spacing w:beforeLines="100" w:afterLines="100" w:line="240" w:lineRule="auto"/>
      <w:jc w:val="left"/>
    </w:pPr>
    <w:rPr>
      <w:rFonts w:eastAsia="宋体"/>
      <w:color w:val="auto"/>
      <w:sz w:val="32"/>
    </w:rPr>
  </w:style>
  <w:style w:type="paragraph" w:customStyle="1" w:styleId="40">
    <w:name w:val="样式 标题 2 + (西文) Times New Roman (中文) BatangChe"/>
    <w:basedOn w:val="3"/>
    <w:qFormat/>
    <w:uiPriority w:val="99"/>
    <w:pPr>
      <w:spacing w:before="0" w:after="0" w:line="360" w:lineRule="auto"/>
      <w:jc w:val="center"/>
    </w:pPr>
    <w:rPr>
      <w:rFonts w:eastAsia="华文中宋"/>
      <w:b/>
      <w:bCs w:val="0"/>
      <w:color w:val="0000FF"/>
    </w:rPr>
  </w:style>
  <w:style w:type="paragraph" w:customStyle="1" w:styleId="41">
    <w:name w:val="题目"/>
    <w:basedOn w:val="2"/>
    <w:qFormat/>
    <w:uiPriority w:val="0"/>
    <w:pPr>
      <w:spacing w:before="624" w:beforeLines="200" w:after="156" w:afterLines="50" w:line="480" w:lineRule="auto"/>
    </w:pPr>
    <w:rPr>
      <w:rFonts w:eastAsia="黑体"/>
      <w:b/>
      <w:sz w:val="44"/>
      <w:szCs w:val="36"/>
    </w:rPr>
  </w:style>
  <w:style w:type="paragraph" w:customStyle="1" w:styleId="42">
    <w:name w:val="正文 Char Char Char 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FE2E80-BB58-488B-9AE4-C050AE90237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89</Pages>
  <Words>6784</Words>
  <Characters>38670</Characters>
  <Lines>322</Lines>
  <Paragraphs>90</Paragraphs>
  <TotalTime>2</TotalTime>
  <ScaleCrop>false</ScaleCrop>
  <LinksUpToDate>false</LinksUpToDate>
  <CharactersWithSpaces>45364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2020-02-24T02:26:00Z</dcterms:created>
  <dc:creator>微软中国</dc:creator>
  <cp:lastModifiedBy>Administrator</cp:lastModifiedBy>
  <dcterms:modified xsi:type="dcterms:W3CDTF">2021-11-22T07:49:09Z</dcterms:modified>
  <cp:revision>380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178CD8C65D50448388E66551ED5EFF0B</vt:lpwstr>
  </property>
</Properties>
</file>