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bookmarkStart w:id="0" w:name="_GoBack"/>
      <w:bookmarkEnd w:id="0"/>
    </w:p>
    <w:p>
      <w:pPr>
        <w:jc w:val="center"/>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lang w:val="en-US" w:eastAsia="zh-CN"/>
        </w:rPr>
        <w:t>台前县县级“免申即享”惠企政策清单（第一批）</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733"/>
        <w:gridCol w:w="2120"/>
        <w:gridCol w:w="1523"/>
        <w:gridCol w:w="1255"/>
        <w:gridCol w:w="3113"/>
        <w:gridCol w:w="1657"/>
      </w:tblGrid>
      <w:tr>
        <w:trPr>
          <w:trHeight w:val="402" w:hRule="atLeast"/>
        </w:trPr>
        <w:tc>
          <w:tcPr>
            <w:tcW w:w="773"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3733"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政策内容</w:t>
            </w:r>
          </w:p>
        </w:tc>
        <w:tc>
          <w:tcPr>
            <w:tcW w:w="2120"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享受主体</w:t>
            </w:r>
          </w:p>
        </w:tc>
        <w:tc>
          <w:tcPr>
            <w:tcW w:w="1523"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类别</w:t>
            </w:r>
          </w:p>
        </w:tc>
        <w:tc>
          <w:tcPr>
            <w:tcW w:w="1255"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责任单位</w:t>
            </w:r>
          </w:p>
        </w:tc>
        <w:tc>
          <w:tcPr>
            <w:tcW w:w="3113"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政策依据</w:t>
            </w:r>
          </w:p>
        </w:tc>
        <w:tc>
          <w:tcPr>
            <w:tcW w:w="1657" w:type="dxa"/>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咨询电话</w:t>
            </w:r>
          </w:p>
        </w:tc>
      </w:tr>
      <w:tr>
        <w:trPr>
          <w:trHeight w:val="90"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3733"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对获评重大项目落地奖、快速建设奖、税收突出贡献奖的招商引资企业，分别奖励10万元。</w:t>
            </w:r>
          </w:p>
        </w:tc>
        <w:tc>
          <w:tcPr>
            <w:tcW w:w="212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获奖招商引资</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w:t>
            </w:r>
          </w:p>
        </w:tc>
        <w:tc>
          <w:tcPr>
            <w:tcW w:w="152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招商优惠</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县商务局</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《中共濮阳市委办公室濮阳市人民政府办公室关于印发濮阳市招商引资考评暂行办法的通知》（濮办〔2021〕6号）</w:t>
            </w:r>
          </w:p>
        </w:tc>
        <w:tc>
          <w:tcPr>
            <w:tcW w:w="165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0393-2218680</w:t>
            </w:r>
          </w:p>
        </w:tc>
      </w:tr>
      <w:tr>
        <w:trPr>
          <w:trHeight w:val="1820"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373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对新认定的国家、省中小企业公共服务示范平台，分别给予60万元、30万元奖励。文件出台后同一企业（平台）已受过同一事项奖励的不再重复奖励。</w:t>
            </w:r>
          </w:p>
        </w:tc>
        <w:tc>
          <w:tcPr>
            <w:tcW w:w="21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新认定的国家、省中小企业公共服务示范平台</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778"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3733" w:type="dxa"/>
            <w:vAlign w:val="center"/>
          </w:tcPr>
          <w:p>
            <w:pPr>
              <w:pStyle w:val="8"/>
              <w:widowControl w:val="0"/>
              <w:shd w:val="clear" w:color="auto" w:fill="auto"/>
              <w:spacing w:before="0" w:after="0" w:line="310" w:lineRule="exact"/>
              <w:ind w:left="0" w:leftChars="0" w:right="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对新认定的国家、省小型微型企业创业创新示范基地，分别给予60万元、30万元奖励。文件出台后同一企业（基地）已受过同一事项奖励的不再重复奖励。</w:t>
            </w:r>
          </w:p>
        </w:tc>
        <w:tc>
          <w:tcPr>
            <w:tcW w:w="2120" w:type="dxa"/>
            <w:vAlign w:val="center"/>
          </w:tcPr>
          <w:p>
            <w:pPr>
              <w:pStyle w:val="8"/>
              <w:widowControl w:val="0"/>
              <w:shd w:val="clear" w:color="auto" w:fill="auto"/>
              <w:spacing w:before="0" w:after="0" w:line="302"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新认定的国家、省小型微型企业创业创新示范基地</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356" w:hRule="atLeast"/>
        </w:trPr>
        <w:tc>
          <w:tcPr>
            <w:tcW w:w="773" w:type="dxa"/>
            <w:vAlign w:val="center"/>
          </w:tcPr>
          <w:p>
            <w:pPr>
              <w:jc w:val="center"/>
              <w:rPr>
                <w:rFonts w:hint="eastAsia" w:ascii="仿宋_GB2312" w:hAnsi="仿宋_GB2312" w:eastAsia="仿宋_GB2312" w:cs="仿宋_GB2312"/>
                <w:sz w:val="24"/>
                <w:szCs w:val="24"/>
                <w:lang w:val="en-US" w:eastAsia="zh-CN"/>
              </w:rPr>
            </w:pPr>
          </w:p>
          <w:p>
            <w:pPr>
              <w:widowControl w:val="0"/>
              <w:wordWrap/>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r>
              <w:rPr>
                <w:rFonts w:ascii="Calibri" w:hAnsi="Calibri" w:eastAsia="宋体" w:cs="黑体"/>
                <w:kern w:val="2"/>
                <w:sz w:val="24"/>
                <w:szCs w:val="24"/>
                <w:lang w:val="en-US" w:eastAsia="zh-CN" w:bidi="ar-SA"/>
              </w:rPr>
              <w:pict>
                <v:shape id="文本框 2" o:spid="_x0000_s1026" type="#_x0000_t202" style="position:absolute;left:0;margin-left:-36.5pt;margin-top:40.9pt;height:78.15pt;width:40pt;rotation:0f;z-index:251658240;"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p>
                    </w:txbxContent>
                  </v:textbox>
                </v:shape>
              </w:pict>
            </w:r>
            <w:r>
              <w:rPr>
                <w:rFonts w:hint="eastAsia" w:ascii="仿宋_GB2312" w:hAnsi="仿宋_GB2312" w:eastAsia="仿宋_GB2312" w:cs="仿宋_GB2312"/>
                <w:sz w:val="24"/>
                <w:szCs w:val="24"/>
                <w:lang w:val="en-US" w:eastAsia="zh-CN"/>
              </w:rPr>
              <w:t>4</w:t>
            </w:r>
          </w:p>
        </w:tc>
        <w:tc>
          <w:tcPr>
            <w:tcW w:w="3733" w:type="dxa"/>
            <w:vAlign w:val="center"/>
          </w:tcPr>
          <w:p>
            <w:pPr>
              <w:pStyle w:val="8"/>
              <w:widowControl w:val="0"/>
              <w:shd w:val="clear" w:color="auto" w:fill="auto"/>
              <w:spacing w:before="0" w:after="0" w:line="312" w:lineRule="exact"/>
              <w:ind w:left="0" w:leftChars="0" w:right="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对新认定为制造业单项冠军示范企业、产品，分别给予100万元、50万元奖励。</w:t>
            </w:r>
          </w:p>
        </w:tc>
        <w:tc>
          <w:tcPr>
            <w:tcW w:w="2120" w:type="dxa"/>
            <w:vAlign w:val="center"/>
          </w:tcPr>
          <w:p>
            <w:pPr>
              <w:pStyle w:val="8"/>
              <w:widowControl w:val="0"/>
              <w:shd w:val="clear" w:color="auto" w:fill="auto"/>
              <w:spacing w:before="0" w:after="0" w:line="310"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新认定为制造业单项冠军示范企业、产品</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271" w:hRule="atLeast"/>
        </w:trPr>
        <w:tc>
          <w:tcPr>
            <w:tcW w:w="77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ascii="Calibri" w:hAnsi="Calibri" w:eastAsia="宋体" w:cs="黑体"/>
                <w:kern w:val="2"/>
                <w:sz w:val="24"/>
                <w:szCs w:val="24"/>
                <w:lang w:val="en-US" w:eastAsia="zh-CN" w:bidi="ar-SA"/>
              </w:rPr>
              <w:pict>
                <v:shape id="文本框 1026" o:spid="_x0000_s1027" type="#_x0000_t202" style="position:absolute;left:0;margin-left:-38.45pt;margin-top:-4.8pt;height:78.15pt;width:40pt;rotation:0f;z-index:251659264;"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10</w:t>
                        </w:r>
                        <w:r>
                          <w:rPr>
                            <w:rFonts w:hint="eastAsia" w:ascii="宋体" w:hAnsi="宋体" w:eastAsia="宋体" w:cs="宋体"/>
                            <w:sz w:val="28"/>
                            <w:szCs w:val="28"/>
                            <w:lang w:val="en-US" w:eastAsia="zh-CN"/>
                          </w:rPr>
                          <w:t>—</w:t>
                        </w:r>
                      </w:p>
                    </w:txbxContent>
                  </v:textbox>
                </v:shape>
              </w:pic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3733" w:type="dxa"/>
            <w:vAlign w:val="center"/>
          </w:tcPr>
          <w:p>
            <w:pPr>
              <w:pStyle w:val="8"/>
              <w:widowControl w:val="0"/>
              <w:shd w:val="clear" w:color="auto" w:fill="auto"/>
              <w:spacing w:before="0" w:after="0" w:line="302" w:lineRule="exact"/>
              <w:ind w:left="0" w:leftChars="0" w:right="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对新认定的省级、市级产业研究院的牵头企业，分别一次性给予100万元、50万元奖励。</w:t>
            </w:r>
          </w:p>
        </w:tc>
        <w:tc>
          <w:tcPr>
            <w:tcW w:w="2120" w:type="dxa"/>
            <w:vAlign w:val="center"/>
          </w:tcPr>
          <w:p>
            <w:pPr>
              <w:pStyle w:val="8"/>
              <w:widowControl w:val="0"/>
              <w:shd w:val="clear" w:color="auto" w:fill="auto"/>
              <w:spacing w:before="0" w:after="0" w:line="307"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新认定的省级、市级产业研究院的牵头企业</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292"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3733" w:type="dxa"/>
            <w:vAlign w:val="center"/>
          </w:tcPr>
          <w:p>
            <w:pPr>
              <w:pStyle w:val="8"/>
              <w:widowControl w:val="0"/>
              <w:shd w:val="clear" w:color="auto" w:fill="auto"/>
              <w:spacing w:before="0" w:after="0" w:line="312"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对新认定的省级质量标杆企业、技术创新示范企业，给予30万元奖励。</w:t>
            </w:r>
          </w:p>
        </w:tc>
        <w:tc>
          <w:tcPr>
            <w:tcW w:w="2120" w:type="dxa"/>
            <w:vAlign w:val="center"/>
          </w:tcPr>
          <w:p>
            <w:pPr>
              <w:pStyle w:val="8"/>
              <w:widowControl w:val="0"/>
              <w:shd w:val="clear" w:color="auto" w:fill="auto"/>
              <w:spacing w:before="0" w:after="0" w:line="314"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新认定的省级质量标杆企业、技术创新示范企业</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211"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3733" w:type="dxa"/>
            <w:vAlign w:val="center"/>
          </w:tcPr>
          <w:p>
            <w:pPr>
              <w:pStyle w:val="8"/>
              <w:widowControl w:val="0"/>
              <w:shd w:val="clear" w:color="auto" w:fill="auto"/>
              <w:spacing w:before="0" w:after="0" w:line="312"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对新认定为国家级、省级绿色园区的，分别给予100万元、50万元奖励。</w:t>
            </w:r>
          </w:p>
        </w:tc>
        <w:tc>
          <w:tcPr>
            <w:tcW w:w="2120" w:type="dxa"/>
            <w:vAlign w:val="center"/>
          </w:tcPr>
          <w:p>
            <w:pPr>
              <w:pStyle w:val="8"/>
              <w:widowControl w:val="0"/>
              <w:shd w:val="clear" w:color="auto" w:fill="auto"/>
              <w:spacing w:before="0" w:after="0" w:line="307"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新认定的国家级、省级绿色园区</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480"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3733" w:type="dxa"/>
            <w:vAlign w:val="center"/>
          </w:tcPr>
          <w:p>
            <w:pPr>
              <w:pStyle w:val="8"/>
              <w:widowControl w:val="0"/>
              <w:shd w:val="clear" w:color="auto" w:fill="auto"/>
              <w:spacing w:before="0" w:after="0" w:line="312"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lang w:eastAsia="zh-CN"/>
              </w:rPr>
            </w:pPr>
            <w:r>
              <w:rPr>
                <w:rFonts w:hint="eastAsia" w:ascii="仿宋_GB2312" w:hAnsi="仿宋_GB2312" w:eastAsia="仿宋_GB2312" w:cs="仿宋_GB2312"/>
                <w:color w:val="000000"/>
                <w:spacing w:val="0"/>
                <w:w w:val="100"/>
                <w:position w:val="0"/>
                <w:sz w:val="24"/>
                <w:szCs w:val="24"/>
              </w:rPr>
              <w:t>对新认定为国家级、省级绿色供应链管理企业的，分别给予50万元、30万元奖励。</w:t>
            </w:r>
          </w:p>
        </w:tc>
        <w:tc>
          <w:tcPr>
            <w:tcW w:w="2120" w:type="dxa"/>
            <w:vAlign w:val="center"/>
          </w:tcPr>
          <w:p>
            <w:pPr>
              <w:pStyle w:val="8"/>
              <w:widowControl w:val="0"/>
              <w:shd w:val="clear" w:color="auto" w:fill="auto"/>
              <w:spacing w:before="0" w:after="0" w:line="310"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新认定的国家级、省级绿色供应链管理企业</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366"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3733" w:type="dxa"/>
            <w:vAlign w:val="center"/>
          </w:tcPr>
          <w:p>
            <w:pPr>
              <w:pStyle w:val="8"/>
              <w:widowControl w:val="0"/>
              <w:shd w:val="clear" w:color="auto" w:fill="auto"/>
              <w:spacing w:before="0" w:after="0" w:line="309"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对经省认定的产业集群工业互联网平台，特定领域、细分行业工业互联网平台，通过省级验收后，给予一次性奖补200万元。</w:t>
            </w:r>
          </w:p>
        </w:tc>
        <w:tc>
          <w:tcPr>
            <w:tcW w:w="2120" w:type="dxa"/>
            <w:vAlign w:val="center"/>
          </w:tcPr>
          <w:p>
            <w:pPr>
              <w:pStyle w:val="8"/>
              <w:widowControl w:val="0"/>
              <w:shd w:val="clear" w:color="auto" w:fill="auto"/>
              <w:spacing w:before="0" w:after="0" w:line="317"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经省认定的产业集群工业互联网平台</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081" w:hRule="atLeast"/>
        </w:trPr>
        <w:tc>
          <w:tcPr>
            <w:tcW w:w="773"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3733" w:type="dxa"/>
            <w:vAlign w:val="center"/>
          </w:tcPr>
          <w:p>
            <w:pPr>
              <w:pStyle w:val="8"/>
              <w:widowControl w:val="0"/>
              <w:shd w:val="clear" w:color="auto" w:fill="auto"/>
              <w:spacing w:before="0" w:after="0" w:line="307"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对经省认定的新一代信息技术融合应用新模式项目给予一次性奖补30万元。</w:t>
            </w:r>
          </w:p>
        </w:tc>
        <w:tc>
          <w:tcPr>
            <w:tcW w:w="2120" w:type="dxa"/>
            <w:vAlign w:val="center"/>
          </w:tcPr>
          <w:p>
            <w:pPr>
              <w:pStyle w:val="8"/>
              <w:widowControl w:val="0"/>
              <w:shd w:val="clear" w:color="auto" w:fill="auto"/>
              <w:spacing w:before="0" w:after="0" w:line="317"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经省认定的新一代信息技术融合应用新模式项目</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2546"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3733" w:type="dxa"/>
            <w:vAlign w:val="center"/>
          </w:tcPr>
          <w:p>
            <w:pPr>
              <w:pStyle w:val="8"/>
              <w:widowControl w:val="0"/>
              <w:shd w:val="clear" w:color="auto" w:fill="auto"/>
              <w:spacing w:before="0" w:after="0" w:line="307"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对获得国务院或工信部认定的国家工业互联网、大数据产业发展、</w:t>
            </w:r>
            <w:r>
              <w:rPr>
                <w:rFonts w:hint="eastAsia" w:ascii="仿宋_GB2312" w:hAnsi="仿宋_GB2312" w:eastAsia="仿宋_GB2312" w:cs="仿宋_GB2312"/>
                <w:color w:val="000000"/>
                <w:spacing w:val="0"/>
                <w:w w:val="100"/>
                <w:position w:val="0"/>
                <w:sz w:val="24"/>
                <w:szCs w:val="24"/>
                <w:lang w:val="en-US" w:eastAsia="zh-CN"/>
              </w:rPr>
              <w:t>服</w:t>
            </w:r>
            <w:r>
              <w:rPr>
                <w:rFonts w:hint="eastAsia" w:ascii="仿宋_GB2312" w:hAnsi="仿宋_GB2312" w:eastAsia="仿宋_GB2312" w:cs="仿宋_GB2312"/>
                <w:color w:val="000000"/>
                <w:spacing w:val="0"/>
                <w:w w:val="100"/>
                <w:position w:val="0"/>
                <w:sz w:val="24"/>
                <w:szCs w:val="24"/>
              </w:rPr>
              <w:t>务型制造、新一代信息技术与制造业融合发展、信息消费等领域试点示范或称号的企业（项目、平台），给予一次性奖励50万元。</w:t>
            </w:r>
          </w:p>
        </w:tc>
        <w:tc>
          <w:tcPr>
            <w:tcW w:w="2120" w:type="dxa"/>
            <w:vAlign w:val="center"/>
          </w:tcPr>
          <w:p>
            <w:pPr>
              <w:pStyle w:val="8"/>
              <w:widowControl w:val="0"/>
              <w:shd w:val="clear" w:color="auto" w:fill="auto"/>
              <w:spacing w:before="0" w:after="0" w:line="322"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新认定的国家新型信息消费项目</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688"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3733" w:type="dxa"/>
            <w:vAlign w:val="center"/>
          </w:tcPr>
          <w:p>
            <w:pPr>
              <w:pStyle w:val="8"/>
              <w:widowControl w:val="0"/>
              <w:shd w:val="clear" w:color="auto" w:fill="auto"/>
              <w:spacing w:before="0" w:after="0" w:line="319"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对新认定的省级、市级</w:t>
            </w:r>
            <w:r>
              <w:rPr>
                <w:rFonts w:hint="eastAsia" w:ascii="仿宋_GB2312" w:hAnsi="仿宋_GB2312" w:eastAsia="仿宋_GB2312" w:cs="仿宋_GB2312"/>
                <w:color w:val="000000"/>
                <w:spacing w:val="0"/>
                <w:w w:val="100"/>
                <w:position w:val="0"/>
                <w:sz w:val="24"/>
                <w:szCs w:val="24"/>
                <w:lang w:val="en-US" w:eastAsia="en-US" w:bidi="en-US"/>
              </w:rPr>
              <w:t>5G</w:t>
            </w:r>
            <w:r>
              <w:rPr>
                <w:rFonts w:hint="eastAsia" w:ascii="仿宋_GB2312" w:hAnsi="仿宋_GB2312" w:eastAsia="仿宋_GB2312" w:cs="仿宋_GB2312"/>
                <w:color w:val="000000"/>
                <w:spacing w:val="0"/>
                <w:w w:val="100"/>
                <w:position w:val="0"/>
                <w:sz w:val="24"/>
                <w:szCs w:val="24"/>
              </w:rPr>
              <w:t>应用场景示范项目分别给予60万元、30万元奖励。</w:t>
            </w:r>
          </w:p>
        </w:tc>
        <w:tc>
          <w:tcPr>
            <w:tcW w:w="2120" w:type="dxa"/>
            <w:vAlign w:val="center"/>
          </w:tcPr>
          <w:p>
            <w:pPr>
              <w:pStyle w:val="8"/>
              <w:widowControl w:val="0"/>
              <w:shd w:val="clear" w:color="auto" w:fill="auto"/>
              <w:spacing w:before="0" w:after="0" w:line="314" w:lineRule="exact"/>
              <w:ind w:left="0" w:leftChars="0" w:right="0" w:firstLine="0" w:firstLineChars="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新认定的省级、市级</w:t>
            </w:r>
            <w:r>
              <w:rPr>
                <w:rFonts w:hint="eastAsia" w:ascii="仿宋_GB2312" w:hAnsi="仿宋_GB2312" w:eastAsia="仿宋_GB2312" w:cs="仿宋_GB2312"/>
                <w:color w:val="000000"/>
                <w:spacing w:val="0"/>
                <w:w w:val="100"/>
                <w:position w:val="0"/>
                <w:sz w:val="24"/>
                <w:szCs w:val="24"/>
                <w:lang w:val="en-US" w:eastAsia="en-US" w:bidi="en-US"/>
              </w:rPr>
              <w:t>5G</w:t>
            </w:r>
            <w:r>
              <w:rPr>
                <w:rFonts w:hint="eastAsia" w:ascii="仿宋_GB2312" w:hAnsi="仿宋_GB2312" w:eastAsia="仿宋_GB2312" w:cs="仿宋_GB2312"/>
                <w:color w:val="000000"/>
                <w:spacing w:val="0"/>
                <w:w w:val="100"/>
                <w:position w:val="0"/>
                <w:sz w:val="24"/>
                <w:szCs w:val="24"/>
              </w:rPr>
              <w:t>应用场景</w:t>
            </w:r>
          </w:p>
          <w:p>
            <w:pPr>
              <w:pStyle w:val="8"/>
              <w:widowControl w:val="0"/>
              <w:shd w:val="clear" w:color="auto" w:fill="auto"/>
              <w:spacing w:before="0" w:after="0" w:line="314"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示范项目</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608"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3733" w:type="dxa"/>
            <w:vAlign w:val="center"/>
          </w:tcPr>
          <w:p>
            <w:pPr>
              <w:pStyle w:val="8"/>
              <w:widowControl w:val="0"/>
              <w:shd w:val="clear" w:color="auto" w:fill="auto"/>
              <w:spacing w:before="0" w:after="0" w:line="300" w:lineRule="exact"/>
              <w:ind w:left="0" w:leftChars="0" w:right="0" w:firstLine="0" w:firstLineChars="0"/>
              <w:jc w:val="both"/>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对</w:t>
            </w:r>
            <w:r>
              <w:rPr>
                <w:rFonts w:hint="eastAsia" w:ascii="仿宋_GB2312" w:hAnsi="仿宋_GB2312" w:eastAsia="仿宋_GB2312" w:cs="仿宋_GB2312"/>
                <w:color w:val="000000"/>
                <w:spacing w:val="0"/>
                <w:w w:val="100"/>
                <w:position w:val="0"/>
                <w:sz w:val="24"/>
                <w:szCs w:val="24"/>
                <w:lang w:val="en-US" w:eastAsia="zh-CN"/>
              </w:rPr>
              <w:t>县</w:t>
            </w:r>
            <w:r>
              <w:rPr>
                <w:rFonts w:hint="eastAsia" w:ascii="仿宋_GB2312" w:hAnsi="仿宋_GB2312" w:eastAsia="仿宋_GB2312" w:cs="仿宋_GB2312"/>
                <w:color w:val="000000"/>
                <w:spacing w:val="0"/>
                <w:w w:val="100"/>
                <w:position w:val="0"/>
                <w:sz w:val="24"/>
                <w:szCs w:val="24"/>
              </w:rPr>
              <w:t>级新认定的特色工业互联网平台、</w:t>
            </w:r>
            <w:r>
              <w:rPr>
                <w:rFonts w:hint="eastAsia" w:ascii="仿宋_GB2312" w:hAnsi="仿宋_GB2312" w:eastAsia="仿宋_GB2312" w:cs="仿宋_GB2312"/>
                <w:color w:val="000000"/>
                <w:spacing w:val="0"/>
                <w:w w:val="100"/>
                <w:position w:val="0"/>
                <w:sz w:val="24"/>
                <w:szCs w:val="24"/>
                <w:lang w:val="en-US" w:eastAsia="en-US" w:bidi="en-US"/>
              </w:rPr>
              <w:t>5G</w:t>
            </w:r>
            <w:r>
              <w:rPr>
                <w:rFonts w:hint="eastAsia" w:ascii="仿宋_GB2312" w:hAnsi="仿宋_GB2312" w:eastAsia="仿宋_GB2312" w:cs="仿宋_GB2312"/>
                <w:color w:val="000000"/>
                <w:spacing w:val="0"/>
                <w:w w:val="100"/>
                <w:position w:val="0"/>
                <w:sz w:val="24"/>
                <w:szCs w:val="24"/>
              </w:rPr>
              <w:t>全连接工厂，分别给予100万元、80万元奖励。</w:t>
            </w:r>
          </w:p>
        </w:tc>
        <w:tc>
          <w:tcPr>
            <w:tcW w:w="2120" w:type="dxa"/>
            <w:vAlign w:val="center"/>
          </w:tcPr>
          <w:p>
            <w:pPr>
              <w:pStyle w:val="8"/>
              <w:widowControl w:val="0"/>
              <w:shd w:val="clear" w:color="auto" w:fill="auto"/>
              <w:spacing w:before="0" w:after="0"/>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新认定的</w:t>
            </w:r>
            <w:r>
              <w:rPr>
                <w:rFonts w:hint="eastAsia" w:ascii="仿宋_GB2312" w:hAnsi="仿宋_GB2312" w:eastAsia="仿宋_GB2312" w:cs="仿宋_GB2312"/>
                <w:color w:val="000000"/>
                <w:spacing w:val="0"/>
                <w:w w:val="100"/>
                <w:position w:val="0"/>
                <w:sz w:val="24"/>
                <w:szCs w:val="24"/>
                <w:lang w:val="en-US" w:eastAsia="zh-CN"/>
              </w:rPr>
              <w:t>县</w:t>
            </w:r>
            <w:r>
              <w:rPr>
                <w:rFonts w:hint="eastAsia" w:ascii="仿宋_GB2312" w:hAnsi="仿宋_GB2312" w:eastAsia="仿宋_GB2312" w:cs="仿宋_GB2312"/>
                <w:color w:val="000000"/>
                <w:spacing w:val="0"/>
                <w:w w:val="100"/>
                <w:position w:val="0"/>
                <w:sz w:val="24"/>
                <w:szCs w:val="24"/>
              </w:rPr>
              <w:t>级特色工业互联网平台、</w:t>
            </w:r>
            <w:r>
              <w:rPr>
                <w:rFonts w:hint="eastAsia" w:ascii="仿宋_GB2312" w:hAnsi="仿宋_GB2312" w:eastAsia="仿宋_GB2312" w:cs="仿宋_GB2312"/>
                <w:color w:val="000000"/>
                <w:spacing w:val="0"/>
                <w:w w:val="100"/>
                <w:position w:val="0"/>
                <w:sz w:val="24"/>
                <w:szCs w:val="24"/>
                <w:lang w:val="en-US" w:eastAsia="en-US" w:bidi="en-US"/>
              </w:rPr>
              <w:t>5G</w:t>
            </w:r>
            <w:r>
              <w:rPr>
                <w:rFonts w:hint="eastAsia" w:ascii="仿宋_GB2312" w:hAnsi="仿宋_GB2312" w:eastAsia="仿宋_GB2312" w:cs="仿宋_GB2312"/>
                <w:color w:val="000000"/>
                <w:spacing w:val="0"/>
                <w:w w:val="100"/>
                <w:position w:val="0"/>
                <w:sz w:val="24"/>
                <w:szCs w:val="24"/>
              </w:rPr>
              <w:t>全连接工厂</w:t>
            </w:r>
          </w:p>
        </w:tc>
        <w:tc>
          <w:tcPr>
            <w:tcW w:w="152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财政奖励</w:t>
            </w:r>
          </w:p>
        </w:tc>
        <w:tc>
          <w:tcPr>
            <w:tcW w:w="125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县工信科技局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县财政局</w:t>
            </w:r>
          </w:p>
        </w:tc>
        <w:tc>
          <w:tcPr>
            <w:tcW w:w="3113"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《濮阳市制造业高质量发展支持奖励政策》（濮政办〔2021〕46号）</w:t>
            </w:r>
          </w:p>
        </w:tc>
        <w:tc>
          <w:tcPr>
            <w:tcW w:w="165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0393-2218680</w:t>
            </w:r>
          </w:p>
        </w:tc>
      </w:tr>
      <w:tr>
        <w:trPr>
          <w:trHeight w:val="1647" w:hRule="atLeast"/>
        </w:trPr>
        <w:tc>
          <w:tcPr>
            <w:tcW w:w="773" w:type="dxa"/>
            <w:vAlign w:val="center"/>
          </w:tcPr>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p>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p>
          <w:p>
            <w:pPr>
              <w:jc w:val="center"/>
              <w:rPr>
                <w:rFonts w:hint="default"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ascii="Calibri" w:hAnsi="Calibri" w:eastAsia="宋体" w:cs="黑体"/>
                <w:kern w:val="2"/>
                <w:sz w:val="24"/>
                <w:szCs w:val="24"/>
                <w:lang w:val="en-US" w:eastAsia="zh-CN" w:bidi="ar-SA"/>
              </w:rPr>
              <w:pict>
                <v:shape id="文本框 1027" o:spid="_x0000_s1028" type="#_x0000_t202" style="position:absolute;left:0;margin-left:-40.7pt;margin-top:86.1pt;height:78.15pt;width:40pt;rotation:0f;z-index:251660288;"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w:t>
                        </w:r>
                      </w:p>
                    </w:txbxContent>
                  </v:textbox>
                </v:shape>
              </w:pict>
            </w:r>
            <w: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t>14</w:t>
            </w:r>
          </w:p>
        </w:tc>
        <w:tc>
          <w:tcPr>
            <w:tcW w:w="3733" w:type="dxa"/>
            <w:vAlign w:val="center"/>
          </w:tcPr>
          <w:p>
            <w:pPr>
              <w:jc w:val="both"/>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TW" w:bidi="zh-TW"/>
              </w:rPr>
              <w:t>对年营业收入首次突破3亿元、5亿元、10亿元、20亿元、30亿元的制造业企业，分别奖励10万元、30万元、50万元、100万元、200万元。</w:t>
            </w:r>
          </w:p>
        </w:tc>
        <w:tc>
          <w:tcPr>
            <w:tcW w:w="2120" w:type="dxa"/>
            <w:vAlign w:val="center"/>
          </w:tcPr>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符合条件的企业</w:t>
            </w:r>
          </w:p>
        </w:tc>
        <w:tc>
          <w:tcPr>
            <w:tcW w:w="1523" w:type="dxa"/>
            <w:vAlign w:val="center"/>
          </w:tcPr>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财政奖励</w:t>
            </w:r>
          </w:p>
        </w:tc>
        <w:tc>
          <w:tcPr>
            <w:tcW w:w="1255" w:type="dxa"/>
            <w:vAlign w:val="center"/>
          </w:tcPr>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县工信科技局</w:t>
            </w:r>
          </w:p>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县财政局</w:t>
            </w:r>
          </w:p>
        </w:tc>
        <w:tc>
          <w:tcPr>
            <w:tcW w:w="3113" w:type="dxa"/>
            <w:vAlign w:val="center"/>
          </w:tcPr>
          <w:p>
            <w:pPr>
              <w:jc w:val="both"/>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《中共台前县委</w:t>
            </w:r>
            <w: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t xml:space="preserve"> </w:t>
            </w: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台前县人民政府关于实施工业强县战略推动制造业高质量发展的实施意见》（台发</w:t>
            </w:r>
            <w: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t>〔2023〕5号</w:t>
            </w:r>
            <w:r>
              <w:rPr>
                <w:rFonts w:hint="eastAsia" w:ascii="仿宋_GB2312" w:hAnsi="仿宋_GB2312" w:eastAsia="仿宋_GB2312" w:cs="仿宋_GB2312"/>
                <w:color w:val="000000"/>
                <w:spacing w:val="0"/>
                <w:w w:val="100"/>
                <w:kern w:val="2"/>
                <w:position w:val="0"/>
                <w:sz w:val="24"/>
                <w:szCs w:val="24"/>
                <w:u w:val="none"/>
                <w:shd w:val="clear" w:color="auto" w:fill="auto"/>
                <w:lang w:val="zh-TW" w:eastAsia="zh-CN" w:bidi="zh-TW"/>
              </w:rPr>
              <w:t>）</w:t>
            </w:r>
          </w:p>
        </w:tc>
        <w:tc>
          <w:tcPr>
            <w:tcW w:w="1657" w:type="dxa"/>
            <w:vAlign w:val="center"/>
          </w:tcPr>
          <w:p>
            <w:pPr>
              <w:jc w:val="cente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4"/>
                <w:szCs w:val="24"/>
                <w:u w:val="none"/>
                <w:shd w:val="clear" w:color="auto" w:fill="auto"/>
                <w:lang w:val="en-US" w:eastAsia="zh-CN" w:bidi="zh-TW"/>
              </w:rPr>
              <w:t>0393-2205865</w:t>
            </w:r>
          </w:p>
        </w:tc>
      </w:tr>
      <w:tr>
        <w:trPr>
          <w:trHeight w:val="2014" w:hRule="atLeast"/>
        </w:trPr>
        <w:tc>
          <w:tcPr>
            <w:tcW w:w="773" w:type="dxa"/>
            <w:vAlign w:val="center"/>
          </w:tcPr>
          <w:p>
            <w:pPr>
              <w:jc w:val="center"/>
              <w:rPr>
                <w:rFonts w:hint="eastAsia" w:ascii="仿宋_GB2312" w:hAnsi="仿宋_GB2312" w:eastAsia="仿宋_GB2312" w:cs="仿宋_GB2312"/>
                <w:sz w:val="24"/>
                <w:szCs w:val="24"/>
                <w:lang w:val="en-US" w:eastAsia="zh-CN"/>
              </w:rPr>
            </w:pPr>
            <w:r>
              <w:rPr>
                <w:rFonts w:ascii="Calibri" w:hAnsi="Calibri" w:eastAsia="宋体" w:cs="黑体"/>
                <w:kern w:val="2"/>
                <w:sz w:val="24"/>
                <w:szCs w:val="24"/>
                <w:lang w:val="en-US" w:eastAsia="zh-CN" w:bidi="ar-SA"/>
              </w:rPr>
              <w:pict>
                <v:shape id="文本框 1028" o:spid="_x0000_s1029" type="#_x0000_t202" style="position:absolute;left:0;margin-left:-36.2pt;margin-top:-4.2pt;height:78.15pt;width:40pt;rotation:0f;z-index:251661312;"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12</w:t>
                        </w:r>
                        <w:r>
                          <w:rPr>
                            <w:rFonts w:hint="eastAsia" w:ascii="宋体" w:hAnsi="宋体" w:eastAsia="宋体" w:cs="宋体"/>
                            <w:sz w:val="28"/>
                            <w:szCs w:val="28"/>
                            <w:lang w:val="en-US" w:eastAsia="zh-CN"/>
                          </w:rPr>
                          <w:t>—</w:t>
                        </w:r>
                      </w:p>
                    </w:txbxContent>
                  </v:textbox>
                </v:shape>
              </w:pict>
            </w:r>
          </w:p>
          <w:p>
            <w:pPr>
              <w:jc w:val="center"/>
              <w:rPr>
                <w:rFonts w:hint="eastAsia" w:ascii="仿宋_GB2312" w:hAnsi="仿宋_GB2312" w:eastAsia="仿宋_GB2312" w:cs="仿宋_GB2312"/>
                <w:sz w:val="24"/>
                <w:szCs w:val="24"/>
                <w:lang w:val="en-US" w:eastAsia="zh-CN"/>
              </w:rPr>
            </w:pPr>
          </w:p>
          <w:p>
            <w:pPr>
              <w:widowControl w:val="0"/>
              <w:wordWrap/>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p>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15</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对年内实施技术改造且设备投资达到1000万元以上的制造业项目，按照设备投资的15%给予奖励。</w:t>
            </w:r>
          </w:p>
        </w:tc>
        <w:tc>
          <w:tcPr>
            <w:tcW w:w="212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年内实施技术改造且设备投资达到1000万元以上的制造业项目</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财政奖励</w:t>
            </w:r>
          </w:p>
        </w:tc>
        <w:tc>
          <w:tcPr>
            <w:tcW w:w="125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县工信科技局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《中共台前县委</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台前县人民政府关于实施工业强县战略推动制造业高质量发展的实施意见》（台发</w:t>
            </w:r>
            <w:r>
              <w:rPr>
                <w:rFonts w:hint="eastAsia" w:ascii="仿宋_GB2312" w:hAnsi="仿宋_GB2312" w:eastAsia="仿宋_GB2312" w:cs="仿宋_GB2312"/>
                <w:sz w:val="24"/>
                <w:szCs w:val="24"/>
                <w:lang w:val="en-US" w:eastAsia="zh-CN"/>
              </w:rPr>
              <w:t>〔2023〕5号</w:t>
            </w:r>
            <w:r>
              <w:rPr>
                <w:rFonts w:hint="eastAsia" w:ascii="仿宋_GB2312" w:hAnsi="仿宋_GB2312" w:eastAsia="仿宋_GB2312" w:cs="仿宋_GB2312"/>
                <w:sz w:val="24"/>
                <w:szCs w:val="24"/>
                <w:lang w:eastAsia="zh-CN"/>
              </w:rPr>
              <w:t>）</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0393-2205865</w:t>
            </w:r>
          </w:p>
        </w:tc>
      </w:tr>
      <w:tr>
        <w:trPr>
          <w:trHeight w:val="90" w:hRule="atLeast"/>
        </w:trPr>
        <w:tc>
          <w:tcPr>
            <w:tcW w:w="773"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16</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对新认定为省级制造业头雁企业，奖励40万元；对新认定的国家高新技术、省“专精特新”、省智能工厂、省绿色工厂等制造业企业，奖励10万元。</w:t>
            </w:r>
          </w:p>
        </w:tc>
        <w:tc>
          <w:tcPr>
            <w:tcW w:w="2120"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新认定为省级制造业头雁企业</w:t>
            </w:r>
            <w:r>
              <w:rPr>
                <w:rFonts w:hint="eastAsia" w:ascii="仿宋_GB2312" w:hAnsi="仿宋_GB2312" w:eastAsia="仿宋_GB2312" w:cs="仿宋_GB2312"/>
                <w:sz w:val="24"/>
                <w:szCs w:val="24"/>
                <w:lang w:eastAsia="zh-CN"/>
              </w:rPr>
              <w:t>、省“专精特新”、省智能工厂、省绿色工厂等制造业</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企业</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财政奖励</w:t>
            </w:r>
          </w:p>
        </w:tc>
        <w:tc>
          <w:tcPr>
            <w:tcW w:w="125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县工信科技局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《中共台前县委</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台前县人民政府关于实施工业强县战略推动制造业高质量发展的实施意见》（台发〔</w:t>
            </w: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5号</w:t>
            </w:r>
            <w:r>
              <w:rPr>
                <w:rFonts w:hint="eastAsia" w:ascii="仿宋_GB2312" w:hAnsi="仿宋_GB2312" w:eastAsia="仿宋_GB2312" w:cs="仿宋_GB2312"/>
                <w:sz w:val="24"/>
                <w:szCs w:val="24"/>
                <w:lang w:eastAsia="zh-CN"/>
              </w:rPr>
              <w:t>）</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0393-2205865</w:t>
            </w:r>
          </w:p>
        </w:tc>
      </w:tr>
      <w:tr>
        <w:trPr>
          <w:trHeight w:val="90" w:hRule="atLeast"/>
        </w:trPr>
        <w:tc>
          <w:tcPr>
            <w:tcW w:w="773"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17</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新认定或引进的省级工程（技术）研究中心、重点实验室、工程实验室、企业技术中心、科技孵化器等科研创新平台，奖励50万元；对新认定或引进的市级工程（技术）研究中心、重点实验室、工程实验室、企业技术中心、科技孵化器等科研创新平台，奖励10万元。</w:t>
            </w:r>
          </w:p>
        </w:tc>
        <w:tc>
          <w:tcPr>
            <w:tcW w:w="212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新认定或引进的省级工程（技术）研究中心、重点实验室、工程实验室、企业技术中心、科技孵化器等科研创新平台</w:t>
            </w:r>
            <w:r>
              <w:rPr>
                <w:rFonts w:hint="eastAsia" w:ascii="仿宋_GB2312" w:hAnsi="仿宋_GB2312" w:eastAsia="仿宋_GB2312" w:cs="仿宋_GB2312"/>
                <w:sz w:val="24"/>
                <w:szCs w:val="24"/>
                <w:lang w:eastAsia="zh-CN"/>
              </w:rPr>
              <w:t>；新认定或引进的市级工程（技术）研究中心、重点实验室、工程实验室、企业技术中心、科技孵化器等科研创新平台</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财政奖励</w:t>
            </w:r>
          </w:p>
        </w:tc>
        <w:tc>
          <w:tcPr>
            <w:tcW w:w="125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县工信科技局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《中共台前县委</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台前县人民政府关于实施工业强县战略推动制造业高质量发展的实施意见》（台发</w:t>
            </w:r>
            <w:r>
              <w:rPr>
                <w:rFonts w:hint="eastAsia" w:ascii="仿宋_GB2312" w:hAnsi="仿宋_GB2312" w:eastAsia="仿宋_GB2312" w:cs="仿宋_GB2312"/>
                <w:sz w:val="24"/>
                <w:szCs w:val="24"/>
                <w:lang w:val="en-US" w:eastAsia="zh-CN"/>
              </w:rPr>
              <w:t>〔2023〕5号</w:t>
            </w:r>
            <w:r>
              <w:rPr>
                <w:rFonts w:hint="eastAsia" w:ascii="仿宋_GB2312" w:hAnsi="仿宋_GB2312" w:eastAsia="仿宋_GB2312" w:cs="仿宋_GB2312"/>
                <w:sz w:val="24"/>
                <w:szCs w:val="24"/>
                <w:lang w:eastAsia="zh-CN"/>
              </w:rPr>
              <w:t>）</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0393-2205865</w:t>
            </w:r>
          </w:p>
        </w:tc>
      </w:tr>
      <w:tr>
        <w:trPr>
          <w:trHeight w:val="2005" w:hRule="atLeast"/>
        </w:trPr>
        <w:tc>
          <w:tcPr>
            <w:tcW w:w="773"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18</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对从外地搬迁至台前的省级以上各类科研创新平台，给予搬迁费30％的补助和最高不超过100万元的开办费补贴。</w:t>
            </w:r>
          </w:p>
        </w:tc>
        <w:tc>
          <w:tcPr>
            <w:tcW w:w="212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从外地搬迁至台前的省级以上各类科研创新平台</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财政奖励</w:t>
            </w:r>
          </w:p>
        </w:tc>
        <w:tc>
          <w:tcPr>
            <w:tcW w:w="125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县工信科技局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《中共台前县委</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台前县人民政府关于实施工业强县战略推动制造业高质量发展的实施意见》（台发</w:t>
            </w:r>
            <w:r>
              <w:rPr>
                <w:rFonts w:hint="eastAsia" w:ascii="仿宋_GB2312" w:hAnsi="仿宋_GB2312" w:eastAsia="仿宋_GB2312" w:cs="仿宋_GB2312"/>
                <w:sz w:val="24"/>
                <w:szCs w:val="24"/>
                <w:lang w:val="en-US" w:eastAsia="zh-CN"/>
              </w:rPr>
              <w:t>〔2023〕5号</w:t>
            </w:r>
            <w:r>
              <w:rPr>
                <w:rFonts w:hint="eastAsia" w:ascii="仿宋_GB2312" w:hAnsi="仿宋_GB2312" w:eastAsia="仿宋_GB2312" w:cs="仿宋_GB2312"/>
                <w:sz w:val="24"/>
                <w:szCs w:val="24"/>
                <w:lang w:eastAsia="zh-CN"/>
              </w:rPr>
              <w:t>）</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0393-2205865</w:t>
            </w:r>
          </w:p>
        </w:tc>
      </w:tr>
      <w:tr>
        <w:trPr>
          <w:trHeight w:val="3383" w:hRule="atLeast"/>
        </w:trPr>
        <w:tc>
          <w:tcPr>
            <w:tcW w:w="773" w:type="dxa"/>
            <w:vAlign w:val="center"/>
          </w:tcPr>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19</w:t>
            </w:r>
          </w:p>
        </w:tc>
        <w:tc>
          <w:tcPr>
            <w:tcW w:w="373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对增值税小规模纳税人、小型微利企业、个体工商户按50%的幅度减征“六税两费”。</w:t>
            </w:r>
          </w:p>
        </w:tc>
        <w:tc>
          <w:tcPr>
            <w:tcW w:w="2120"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增值税小规模纳税人小型微利企业、个体工商户</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《财政部 税务总局关于进一步实施小微企业“六税两费”减免政策的公告》(财政部 税务总局公告2022年第10号）、《河南省人民政府关于印发河南省贯彻落实稳住经济一揽子政策措施实施方案的通知》（豫政〔2022〕19号）</w:t>
            </w:r>
          </w:p>
        </w:tc>
        <w:tc>
          <w:tcPr>
            <w:tcW w:w="1657"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2208" w:hRule="atLeast"/>
        </w:trPr>
        <w:tc>
          <w:tcPr>
            <w:tcW w:w="773" w:type="dxa"/>
            <w:vAlign w:val="center"/>
          </w:tcPr>
          <w:p>
            <w:pPr>
              <w:pStyle w:val="2"/>
              <w:widowControl w:val="0"/>
              <w:wordWrap/>
              <w:adjustRightInd/>
              <w:snapToGrid/>
              <w:spacing w:before="0" w:after="120" w:line="2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p>
          <w:p>
            <w:pPr>
              <w:pStyle w:val="2"/>
              <w:widowControl w:val="0"/>
              <w:wordWrap/>
              <w:adjustRightInd/>
              <w:snapToGrid/>
              <w:spacing w:before="0" w:after="120" w:line="2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p>
          <w:p>
            <w:pPr>
              <w:pStyle w:val="3"/>
              <w:widowControl w:val="0"/>
              <w:wordWrap/>
              <w:adjustRightInd/>
              <w:snapToGrid/>
              <w:spacing w:before="0" w:after="0" w:line="240" w:lineRule="exact"/>
              <w:ind w:left="420" w:leftChars="200" w:right="0" w:firstLine="0" w:firstLineChars="0"/>
              <w:jc w:val="both"/>
              <w:textAlignment w:val="auto"/>
              <w:outlineLvl w:val="9"/>
              <w:rPr>
                <w:rFonts w:hint="eastAsia"/>
                <w:lang w:val="en-US" w:eastAsia="zh-CN"/>
              </w:rPr>
            </w:pPr>
          </w:p>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ascii="Calibri" w:hAnsi="Calibri" w:eastAsia="宋体" w:cs="黑体"/>
                <w:kern w:val="2"/>
                <w:sz w:val="24"/>
                <w:szCs w:val="24"/>
                <w:lang w:val="en-US" w:eastAsia="zh-CN" w:bidi="ar-SA"/>
              </w:rPr>
              <w:pict>
                <v:shape id="文本框 1029" o:spid="_x0000_s1030" type="#_x0000_t202" style="position:absolute;left:0;margin-left:-39.2pt;margin-top:92.85pt;height:78.15pt;width:40pt;rotation:0f;z-index:251662336;"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13</w:t>
                        </w:r>
                        <w:r>
                          <w:rPr>
                            <w:rFonts w:hint="eastAsia" w:ascii="宋体" w:hAnsi="宋体" w:eastAsia="宋体" w:cs="宋体"/>
                            <w:sz w:val="28"/>
                            <w:szCs w:val="28"/>
                            <w:lang w:val="en-US" w:eastAsia="zh-CN"/>
                          </w:rPr>
                          <w:t>—</w:t>
                        </w:r>
                      </w:p>
                    </w:txbxContent>
                  </v:textbox>
                </v:shape>
              </w:pict>
            </w:r>
            <w:r>
              <w:rPr>
                <w:rFonts w:hint="eastAsia" w:ascii="仿宋_GB2312" w:hAnsi="仿宋_GB2312" w:eastAsia="仿宋_GB2312" w:cs="仿宋_GB2312"/>
                <w:sz w:val="24"/>
                <w:szCs w:val="24"/>
                <w:lang w:val="en-US" w:eastAsia="zh-CN"/>
              </w:rPr>
              <w:t>20</w:t>
            </w:r>
          </w:p>
        </w:tc>
        <w:tc>
          <w:tcPr>
            <w:tcW w:w="373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全面落实企业研发费用加计扣除企业所得税优惠政策。</w:t>
            </w:r>
          </w:p>
        </w:tc>
        <w:tc>
          <w:tcPr>
            <w:tcW w:w="2120"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符合条件的企业</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《财政部 税务总局关于进一步完善研发费用税前加计扣除政策的公告》（财政部 税务总局公告2023年第7号）</w:t>
            </w:r>
          </w:p>
        </w:tc>
        <w:tc>
          <w:tcPr>
            <w:tcW w:w="1657"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1935" w:hRule="atLeast"/>
        </w:trPr>
        <w:tc>
          <w:tcPr>
            <w:tcW w:w="773" w:type="dxa"/>
            <w:vAlign w:val="center"/>
          </w:tcPr>
          <w:p>
            <w:pPr>
              <w:pStyle w:val="2"/>
              <w:widowControl w:val="0"/>
              <w:wordWrap/>
              <w:adjustRightInd/>
              <w:snapToGrid/>
              <w:spacing w:before="0" w:after="120" w:line="240" w:lineRule="exact"/>
              <w:ind w:left="0" w:leftChars="0" w:right="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ascii="Calibri" w:hAnsi="Calibri" w:eastAsia="宋体" w:cs="黑体"/>
                <w:kern w:val="2"/>
                <w:sz w:val="24"/>
                <w:szCs w:val="24"/>
                <w:lang w:val="en-US" w:eastAsia="zh-CN" w:bidi="ar-SA"/>
              </w:rPr>
              <w:pict>
                <v:shape id="文本框 1030" o:spid="_x0000_s1031" type="#_x0000_t202" style="position:absolute;left:0;margin-left:-39.2pt;margin-top:-2.75pt;height:78.15pt;width:40pt;rotation:0f;z-index:251663360;"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14</w:t>
                        </w:r>
                        <w:r>
                          <w:rPr>
                            <w:rFonts w:hint="eastAsia" w:ascii="宋体" w:hAnsi="宋体" w:eastAsia="宋体" w:cs="宋体"/>
                            <w:sz w:val="28"/>
                            <w:szCs w:val="28"/>
                            <w:lang w:val="en-US" w:eastAsia="zh-CN"/>
                          </w:rPr>
                          <w:t>—</w:t>
                        </w:r>
                      </w:p>
                    </w:txbxContent>
                  </v:textbox>
                </v:shape>
              </w:pict>
            </w:r>
          </w:p>
          <w:p>
            <w:pPr>
              <w:pStyle w:val="2"/>
              <w:widowControl w:val="0"/>
              <w:wordWrap/>
              <w:adjustRightInd/>
              <w:snapToGrid/>
              <w:spacing w:before="0" w:after="120" w:line="240" w:lineRule="exact"/>
              <w:ind w:left="0" w:leftChars="0" w:right="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373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扩大汽车后市场消费，2020年5月1日至2023年12月31日，对从事二手车经销业务的纳税人销售其收购的二手车，减按0.5%征收率征收增值税。</w:t>
            </w:r>
          </w:p>
        </w:tc>
        <w:tc>
          <w:tcPr>
            <w:tcW w:w="2120"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符合条件的从事二手车经销业务的纳税人</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《国家税务总局关于明确二手车经销等若干增值税征管问题的公告》（国家税务总局公告2020年第9号）</w:t>
            </w:r>
          </w:p>
        </w:tc>
        <w:tc>
          <w:tcPr>
            <w:tcW w:w="1657"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3095" w:hRule="atLeast"/>
        </w:trPr>
        <w:tc>
          <w:tcPr>
            <w:tcW w:w="773" w:type="dxa"/>
            <w:vAlign w:val="center"/>
          </w:tcPr>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22</w:t>
            </w:r>
          </w:p>
        </w:tc>
        <w:tc>
          <w:tcPr>
            <w:tcW w:w="3733" w:type="dxa"/>
            <w:vAlign w:val="center"/>
          </w:tcPr>
          <w:p>
            <w:pPr>
              <w:pStyle w:val="2"/>
              <w:ind w:left="0" w:leftChars="0" w:firstLine="0" w:firstLineChars="0"/>
              <w:jc w:val="center"/>
              <w:rPr>
                <w:rFonts w:hint="eastAsia" w:ascii="仿宋_GB2312" w:hAnsi="仿宋_GB2312" w:eastAsia="仿宋_GB2312" w:cs="仿宋_GB2312"/>
                <w:sz w:val="24"/>
                <w:szCs w:val="24"/>
                <w:lang w:val="en-US" w:eastAsia="zh-CN"/>
              </w:rPr>
            </w:pPr>
          </w:p>
          <w:p>
            <w:pPr>
              <w:pStyle w:val="2"/>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2023年1月1日至2023年12月31日，对月销售额10万元以下（含本数）的增值税小规模纳税人，免征增值税。增值税小规模纳税人适用3%征收率的应税销售收入，减按1%征收率征收增值税；适用3%预征率的预缴增值税项目，减按1%预征率预缴增值税。</w:t>
            </w:r>
          </w:p>
          <w:p>
            <w:pPr>
              <w:pStyle w:val="2"/>
              <w:jc w:val="center"/>
              <w:rPr>
                <w:rFonts w:hint="eastAsia" w:ascii="仿宋_GB2312" w:hAnsi="仿宋_GB2312" w:eastAsia="仿宋_GB2312" w:cs="仿宋_GB2312"/>
                <w:sz w:val="24"/>
                <w:szCs w:val="24"/>
                <w:lang w:val="en-US" w:eastAsia="zh-CN"/>
              </w:rPr>
            </w:pPr>
          </w:p>
          <w:p>
            <w:pPr>
              <w:pStyle w:val="2"/>
              <w:ind w:left="0" w:leftChars="0" w:firstLine="480" w:firstLineChars="200"/>
              <w:jc w:val="center"/>
              <w:rPr>
                <w:rFonts w:hint="eastAsia" w:ascii="仿宋_GB2312" w:hAnsi="仿宋_GB2312" w:eastAsia="仿宋_GB2312" w:cs="仿宋_GB2312"/>
                <w:kern w:val="2"/>
                <w:sz w:val="24"/>
                <w:szCs w:val="24"/>
                <w:lang w:val="en-US" w:eastAsia="zh-CN" w:bidi="ar-SA"/>
              </w:rPr>
            </w:pPr>
          </w:p>
        </w:tc>
        <w:tc>
          <w:tcPr>
            <w:tcW w:w="2120" w:type="dxa"/>
            <w:vAlign w:val="center"/>
          </w:tcPr>
          <w:p>
            <w:pPr>
              <w:pStyle w:val="2"/>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增值税小规模</w:t>
            </w:r>
          </w:p>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纳税人</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《财政部 税务总局关于明确增值税小规模纳税人减免增值税等政策的公告》（财政部 税务总局公告2023年第1号）</w:t>
            </w:r>
          </w:p>
        </w:tc>
        <w:tc>
          <w:tcPr>
            <w:tcW w:w="1657"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1892" w:hRule="atLeast"/>
        </w:trPr>
        <w:tc>
          <w:tcPr>
            <w:tcW w:w="773" w:type="dxa"/>
            <w:vAlign w:val="center"/>
          </w:tcPr>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23</w:t>
            </w:r>
          </w:p>
        </w:tc>
        <w:tc>
          <w:tcPr>
            <w:tcW w:w="373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对小型微利企业年应纳税所得额不超过100万元的部分，减按25%计入应纳税所得额，按20%的税率缴纳企业所得税。</w:t>
            </w:r>
          </w:p>
        </w:tc>
        <w:tc>
          <w:tcPr>
            <w:tcW w:w="2120"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符合条件的小型微利企业</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《财政部 税务总局关于小微企业和个体工商户所得税优惠政策的公告》（财政部 税务总局公告2023年第6号）</w:t>
            </w:r>
          </w:p>
        </w:tc>
        <w:tc>
          <w:tcPr>
            <w:tcW w:w="1657"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1735" w:hRule="atLeast"/>
        </w:trPr>
        <w:tc>
          <w:tcPr>
            <w:tcW w:w="773" w:type="dxa"/>
            <w:vAlign w:val="center"/>
          </w:tcPr>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24</w:t>
            </w:r>
          </w:p>
        </w:tc>
        <w:tc>
          <w:tcPr>
            <w:tcW w:w="373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对小型微利企业年应纳税所得额超过100万元但不超过300万元的部分，减按25%计入应纳税所得额，按20%的税率缴纳企业所得税。</w:t>
            </w:r>
          </w:p>
        </w:tc>
        <w:tc>
          <w:tcPr>
            <w:tcW w:w="2120" w:type="dxa"/>
            <w:vAlign w:val="center"/>
          </w:tcPr>
          <w:p>
            <w:pPr>
              <w:pStyle w:val="2"/>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符合条件的</w:t>
            </w:r>
          </w:p>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小型微利企业</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《财政部 税务总局关于进一步实施小微企业所得税优惠政策的公告》（财政部 税务总局公告2022年第13号）</w:t>
            </w:r>
          </w:p>
        </w:tc>
        <w:tc>
          <w:tcPr>
            <w:tcW w:w="1657" w:type="dxa"/>
            <w:vAlign w:val="center"/>
          </w:tcPr>
          <w:p>
            <w:pPr>
              <w:pStyle w:val="2"/>
              <w:ind w:left="0" w:leftChars="0" w:firstLine="0" w:firstLineChars="0"/>
              <w:jc w:val="center"/>
              <w:rPr>
                <w:rFonts w:hint="eastAsia" w:ascii="仿宋_GB2312" w:hAnsi="仿宋_GB2312" w:eastAsia="仿宋_GB2312" w:cs="仿宋_GB2312"/>
                <w:color w:val="0000FF"/>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1802" w:hRule="atLeast"/>
        </w:trPr>
        <w:tc>
          <w:tcPr>
            <w:tcW w:w="773" w:type="dxa"/>
            <w:vAlign w:val="center"/>
          </w:tcPr>
          <w:p>
            <w:pPr>
              <w:pStyle w:val="2"/>
              <w:ind w:left="0" w:leftChars="0"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25</w:t>
            </w:r>
          </w:p>
        </w:tc>
        <w:tc>
          <w:tcPr>
            <w:tcW w:w="373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对个体工商户年应纳税所得额不超过100万元的部分，在现行优惠政策基础上，减半征收个人所得税。</w:t>
            </w:r>
          </w:p>
        </w:tc>
        <w:tc>
          <w:tcPr>
            <w:tcW w:w="2120"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符合条件的</w:t>
            </w:r>
          </w:p>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个体工商户</w:t>
            </w:r>
          </w:p>
        </w:tc>
        <w:tc>
          <w:tcPr>
            <w:tcW w:w="1523"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税收减免</w:t>
            </w:r>
          </w:p>
        </w:tc>
        <w:tc>
          <w:tcPr>
            <w:tcW w:w="1255"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县税务局</w:t>
            </w:r>
          </w:p>
        </w:tc>
        <w:tc>
          <w:tcPr>
            <w:tcW w:w="3113" w:type="dxa"/>
            <w:vAlign w:val="center"/>
          </w:tcPr>
          <w:p>
            <w:pPr>
              <w:pStyle w:val="2"/>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《财政部 税务总局关于小微企业和个体工商户所得税优惠政策的公告》（财政部 税务总局公告2023年第6号）</w:t>
            </w:r>
          </w:p>
        </w:tc>
        <w:tc>
          <w:tcPr>
            <w:tcW w:w="1657" w:type="dxa"/>
            <w:vAlign w:val="center"/>
          </w:tcPr>
          <w:p>
            <w:pPr>
              <w:pStyle w:val="2"/>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12366</w:t>
            </w:r>
          </w:p>
        </w:tc>
      </w:tr>
      <w:tr>
        <w:trPr>
          <w:trHeight w:val="1684" w:hRule="atLeast"/>
        </w:trPr>
        <w:tc>
          <w:tcPr>
            <w:tcW w:w="773"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26</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招商项目前全程代办服务</w:t>
            </w:r>
          </w:p>
        </w:tc>
        <w:tc>
          <w:tcPr>
            <w:tcW w:w="212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招商引资引进的企业</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招商优惠</w:t>
            </w:r>
          </w:p>
        </w:tc>
        <w:tc>
          <w:tcPr>
            <w:tcW w:w="125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县商务局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县开发区</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县政务服务中心</w:t>
            </w:r>
          </w:p>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各乡镇（街道办）</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《濮阳市人民政府办公室关于对招商项目实行全程代办服务的通知》</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0393-2266966</w:t>
            </w:r>
          </w:p>
        </w:tc>
      </w:tr>
      <w:tr>
        <w:trPr>
          <w:trHeight w:val="2197" w:hRule="atLeast"/>
        </w:trPr>
        <w:tc>
          <w:tcPr>
            <w:tcW w:w="773" w:type="dxa"/>
            <w:vAlign w:val="center"/>
          </w:tcPr>
          <w:p>
            <w:pPr>
              <w:jc w:val="center"/>
              <w:rPr>
                <w:rFonts w:hint="eastAsia" w:ascii="仿宋_GB2312" w:hAnsi="仿宋_GB2312" w:eastAsia="仿宋_GB2312" w:cs="仿宋_GB2312"/>
                <w:kern w:val="2"/>
                <w:sz w:val="24"/>
                <w:szCs w:val="24"/>
                <w:lang w:val="en-US" w:eastAsia="zh-CN" w:bidi="ar-SA"/>
              </w:rPr>
            </w:pPr>
          </w:p>
          <w:p>
            <w:pPr>
              <w:jc w:val="center"/>
              <w:rPr>
                <w:rFonts w:hint="eastAsia" w:ascii="仿宋_GB2312" w:hAnsi="仿宋_GB2312" w:eastAsia="仿宋_GB2312" w:cs="仿宋_GB2312"/>
                <w:kern w:val="2"/>
                <w:sz w:val="24"/>
                <w:szCs w:val="24"/>
                <w:lang w:val="en-US" w:eastAsia="zh-CN" w:bidi="ar-SA"/>
              </w:rPr>
            </w:pPr>
          </w:p>
          <w:p>
            <w:pPr>
              <w:jc w:val="center"/>
              <w:rPr>
                <w:rFonts w:hint="eastAsia" w:ascii="仿宋_GB2312" w:hAnsi="仿宋_GB2312" w:eastAsia="仿宋_GB2312" w:cs="仿宋_GB2312"/>
                <w:kern w:val="2"/>
                <w:sz w:val="24"/>
                <w:szCs w:val="24"/>
                <w:lang w:val="en-US" w:eastAsia="zh-CN" w:bidi="ar-SA"/>
              </w:rPr>
            </w:pPr>
          </w:p>
          <w:p>
            <w:pPr>
              <w:jc w:val="center"/>
              <w:rPr>
                <w:rFonts w:hint="default" w:ascii="仿宋_GB2312" w:hAnsi="仿宋_GB2312" w:eastAsia="仿宋_GB2312" w:cs="仿宋_GB2312"/>
                <w:kern w:val="2"/>
                <w:sz w:val="24"/>
                <w:szCs w:val="24"/>
                <w:lang w:val="en-US" w:eastAsia="zh-CN" w:bidi="ar-SA"/>
              </w:rPr>
            </w:pPr>
            <w:r>
              <w:rPr>
                <w:rFonts w:ascii="Calibri" w:hAnsi="Calibri" w:eastAsia="宋体" w:cs="黑体"/>
                <w:kern w:val="2"/>
                <w:sz w:val="24"/>
                <w:szCs w:val="24"/>
                <w:lang w:val="en-US" w:eastAsia="zh-CN" w:bidi="ar-SA"/>
              </w:rPr>
              <w:pict>
                <v:shape id="文本框 1031" o:spid="_x0000_s1032" type="#_x0000_t202" style="position:absolute;left:0;margin-left:-36.95pt;margin-top:80.9pt;height:78.15pt;width:40pt;rotation:0f;z-index:251664384;"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15</w:t>
                        </w:r>
                        <w:r>
                          <w:rPr>
                            <w:rFonts w:hint="eastAsia" w:ascii="宋体" w:hAnsi="宋体" w:eastAsia="宋体" w:cs="宋体"/>
                            <w:sz w:val="28"/>
                            <w:szCs w:val="28"/>
                            <w:lang w:val="en-US" w:eastAsia="zh-CN"/>
                          </w:rPr>
                          <w:t>—</w:t>
                        </w:r>
                      </w:p>
                    </w:txbxContent>
                  </v:textbox>
                </v:shape>
              </w:pict>
            </w:r>
            <w:r>
              <w:rPr>
                <w:rFonts w:hint="eastAsia" w:ascii="仿宋_GB2312" w:hAnsi="仿宋_GB2312" w:eastAsia="仿宋_GB2312" w:cs="仿宋_GB2312"/>
                <w:kern w:val="2"/>
                <w:sz w:val="24"/>
                <w:szCs w:val="24"/>
                <w:lang w:val="en-US" w:eastAsia="zh-CN" w:bidi="ar-SA"/>
              </w:rPr>
              <w:t>27</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对本</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企业购买、引进国内外高等院校、科研机构及个人优秀专利技术并实施转化的(应属非关联交易)，由受益财政依技术交易额给予1%的奖励，单个企业最高奖励不超过2万元。</w:t>
            </w:r>
          </w:p>
        </w:tc>
        <w:tc>
          <w:tcPr>
            <w:tcW w:w="212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目前</w:t>
            </w:r>
            <w:r>
              <w:rPr>
                <w:rFonts w:hint="eastAsia" w:ascii="仿宋_GB2312" w:hAnsi="仿宋_GB2312" w:eastAsia="仿宋_GB2312" w:cs="仿宋_GB2312"/>
                <w:color w:val="auto"/>
                <w:sz w:val="24"/>
                <w:szCs w:val="24"/>
              </w:rPr>
              <w:t>符合条件的企业</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财政奖励</w:t>
            </w:r>
          </w:p>
        </w:tc>
        <w:tc>
          <w:tcPr>
            <w:tcW w:w="125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市场监管局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《中共</w:t>
            </w:r>
            <w:r>
              <w:rPr>
                <w:rFonts w:hint="eastAsia" w:ascii="仿宋_GB2312" w:hAnsi="仿宋_GB2312" w:eastAsia="仿宋_GB2312" w:cs="仿宋_GB2312"/>
                <w:sz w:val="24"/>
                <w:szCs w:val="24"/>
                <w:lang w:val="en-US" w:eastAsia="zh-CN"/>
              </w:rPr>
              <w:t>台前县委</w:t>
            </w:r>
            <w:r>
              <w:rPr>
                <w:rFonts w:hint="eastAsia" w:ascii="仿宋_GB2312" w:hAnsi="仿宋_GB2312" w:eastAsia="仿宋_GB2312" w:cs="仿宋_GB2312"/>
                <w:sz w:val="24"/>
                <w:szCs w:val="24"/>
              </w:rPr>
              <w:t>办公室</w:t>
            </w:r>
            <w:r>
              <w:rPr>
                <w:rFonts w:hint="eastAsia" w:ascii="仿宋_GB2312" w:hAnsi="仿宋_GB2312" w:eastAsia="仿宋_GB2312" w:cs="仿宋_GB2312"/>
                <w:sz w:val="24"/>
                <w:szCs w:val="24"/>
                <w:lang w:val="en-US" w:eastAsia="zh-CN"/>
              </w:rPr>
              <w:t>台前县</w:t>
            </w:r>
            <w:r>
              <w:rPr>
                <w:rFonts w:hint="eastAsia" w:ascii="仿宋_GB2312" w:hAnsi="仿宋_GB2312" w:eastAsia="仿宋_GB2312" w:cs="仿宋_GB2312"/>
                <w:sz w:val="24"/>
                <w:szCs w:val="24"/>
              </w:rPr>
              <w:t>人民政府办公室印发关于强化知识产权保护与促进工作的实旅意见的通知》(</w:t>
            </w:r>
            <w:r>
              <w:rPr>
                <w:rFonts w:hint="eastAsia" w:ascii="仿宋_GB2312" w:hAnsi="仿宋_GB2312" w:eastAsia="仿宋_GB2312" w:cs="仿宋_GB2312"/>
                <w:sz w:val="24"/>
                <w:szCs w:val="24"/>
                <w:lang w:val="en-US" w:eastAsia="zh-CN"/>
              </w:rPr>
              <w:t>台</w:t>
            </w:r>
            <w:r>
              <w:rPr>
                <w:rFonts w:hint="eastAsia" w:ascii="仿宋_GB2312" w:hAnsi="仿宋_GB2312" w:eastAsia="仿宋_GB2312" w:cs="仿宋_GB2312"/>
                <w:sz w:val="24"/>
                <w:szCs w:val="24"/>
              </w:rPr>
              <w:t>办〔</w:t>
            </w: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号)</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0393-</w:t>
            </w:r>
            <w:r>
              <w:rPr>
                <w:rFonts w:hint="eastAsia" w:ascii="仿宋_GB2312" w:hAnsi="仿宋_GB2312" w:eastAsia="仿宋_GB2312" w:cs="仿宋_GB2312"/>
                <w:sz w:val="24"/>
                <w:szCs w:val="24"/>
                <w:lang w:val="en-US" w:eastAsia="zh-CN"/>
              </w:rPr>
              <w:t>8507807</w:t>
            </w:r>
          </w:p>
        </w:tc>
      </w:tr>
      <w:tr>
        <w:trPr>
          <w:trHeight w:val="1920" w:hRule="atLeast"/>
        </w:trPr>
        <w:tc>
          <w:tcPr>
            <w:tcW w:w="773" w:type="dxa"/>
            <w:vAlign w:val="center"/>
          </w:tcPr>
          <w:p>
            <w:pPr>
              <w:jc w:val="center"/>
              <w:rPr>
                <w:rFonts w:hint="eastAsia" w:ascii="仿宋_GB2312" w:hAnsi="仿宋_GB2312" w:eastAsia="仿宋_GB2312" w:cs="仿宋_GB2312"/>
                <w:kern w:val="2"/>
                <w:sz w:val="24"/>
                <w:szCs w:val="24"/>
                <w:lang w:val="en-US" w:eastAsia="zh-CN" w:bidi="ar-SA"/>
              </w:rPr>
            </w:pPr>
            <w:r>
              <w:rPr>
                <w:rFonts w:ascii="Calibri" w:hAnsi="Calibri" w:eastAsia="宋体" w:cs="黑体"/>
                <w:kern w:val="2"/>
                <w:sz w:val="24"/>
                <w:szCs w:val="24"/>
                <w:lang w:val="en-US" w:eastAsia="zh-CN" w:bidi="ar-SA"/>
              </w:rPr>
              <w:pict>
                <v:shape id="文本框 1032" o:spid="_x0000_s1033" type="#_x0000_t202" style="position:absolute;left:0;margin-left:-36.95pt;margin-top:-2.65pt;height:78.15pt;width:40pt;rotation:0f;z-index:251665408;" o:ole="f" fillcolor="#FFFFFF" filled="f" o:preferrelative="t" stroked="f" coordorigin="0,0" coordsize="21600,21600">
                  <v:fill on="f" color2="#FFFFFF" o:opacity2="100%" focus="0%"/>
                  <v:imagedata gain="65536f" blacklevel="0f" gamma="0"/>
                  <o:lock v:ext="edit" position="f" selection="f" grouping="f" rotation="f" cropping="f" text="f" aspectratio="f"/>
                  <v:textbox inset="7.20pt,3.60pt,7.20pt,3.60pt"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16</w:t>
                        </w:r>
                        <w:r>
                          <w:rPr>
                            <w:rFonts w:hint="eastAsia" w:ascii="宋体" w:hAnsi="宋体" w:eastAsia="宋体" w:cs="宋体"/>
                            <w:sz w:val="28"/>
                            <w:szCs w:val="28"/>
                            <w:lang w:val="en-US" w:eastAsia="zh-CN"/>
                          </w:rPr>
                          <w:t>—</w:t>
                        </w:r>
                      </w:p>
                    </w:txbxContent>
                  </v:textbox>
                </v:shape>
              </w:pict>
            </w:r>
          </w:p>
          <w:p>
            <w:pPr>
              <w:jc w:val="center"/>
              <w:rPr>
                <w:rFonts w:hint="eastAsia" w:ascii="仿宋_GB2312" w:hAnsi="仿宋_GB2312" w:eastAsia="仿宋_GB2312" w:cs="仿宋_GB2312"/>
                <w:kern w:val="2"/>
                <w:sz w:val="24"/>
                <w:szCs w:val="24"/>
                <w:lang w:val="en-US" w:eastAsia="zh-CN" w:bidi="ar-SA"/>
              </w:rPr>
            </w:pPr>
          </w:p>
          <w:p>
            <w:pPr>
              <w:widowControl w:val="0"/>
              <w:wordWrap/>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28</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对获得中国驰名商标的企业，市政府给予一次性奖励50万元。</w:t>
            </w:r>
          </w:p>
        </w:tc>
        <w:tc>
          <w:tcPr>
            <w:tcW w:w="212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获得中国驰名商标的企业</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财政奖励</w:t>
            </w:r>
          </w:p>
        </w:tc>
        <w:tc>
          <w:tcPr>
            <w:tcW w:w="125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市场监管局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《中共</w:t>
            </w:r>
            <w:r>
              <w:rPr>
                <w:rFonts w:hint="eastAsia" w:ascii="仿宋_GB2312" w:hAnsi="仿宋_GB2312" w:eastAsia="仿宋_GB2312" w:cs="仿宋_GB2312"/>
                <w:sz w:val="24"/>
                <w:szCs w:val="24"/>
                <w:lang w:val="en-US" w:eastAsia="zh-CN"/>
              </w:rPr>
              <w:t>台前县委</w:t>
            </w:r>
            <w:r>
              <w:rPr>
                <w:rFonts w:hint="eastAsia" w:ascii="仿宋_GB2312" w:hAnsi="仿宋_GB2312" w:eastAsia="仿宋_GB2312" w:cs="仿宋_GB2312"/>
                <w:sz w:val="24"/>
                <w:szCs w:val="24"/>
              </w:rPr>
              <w:t>办公室</w:t>
            </w:r>
            <w:r>
              <w:rPr>
                <w:rFonts w:hint="eastAsia" w:ascii="仿宋_GB2312" w:hAnsi="仿宋_GB2312" w:eastAsia="仿宋_GB2312" w:cs="仿宋_GB2312"/>
                <w:sz w:val="24"/>
                <w:szCs w:val="24"/>
                <w:lang w:val="en-US" w:eastAsia="zh-CN"/>
              </w:rPr>
              <w:t>台前县</w:t>
            </w:r>
            <w:r>
              <w:rPr>
                <w:rFonts w:hint="eastAsia" w:ascii="仿宋_GB2312" w:hAnsi="仿宋_GB2312" w:eastAsia="仿宋_GB2312" w:cs="仿宋_GB2312"/>
                <w:sz w:val="24"/>
                <w:szCs w:val="24"/>
              </w:rPr>
              <w:t>人民政府办公室印发关于强化知识产权保护与促进工作的实旅意见的通知》(</w:t>
            </w:r>
            <w:r>
              <w:rPr>
                <w:rFonts w:hint="eastAsia" w:ascii="仿宋_GB2312" w:hAnsi="仿宋_GB2312" w:eastAsia="仿宋_GB2312" w:cs="仿宋_GB2312"/>
                <w:sz w:val="24"/>
                <w:szCs w:val="24"/>
                <w:lang w:val="en-US" w:eastAsia="zh-CN"/>
              </w:rPr>
              <w:t>台</w:t>
            </w:r>
            <w:r>
              <w:rPr>
                <w:rFonts w:hint="eastAsia" w:ascii="仿宋_GB2312" w:hAnsi="仿宋_GB2312" w:eastAsia="仿宋_GB2312" w:cs="仿宋_GB2312"/>
                <w:sz w:val="24"/>
                <w:szCs w:val="24"/>
              </w:rPr>
              <w:t>办〔</w:t>
            </w: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号)</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0393-</w:t>
            </w:r>
            <w:r>
              <w:rPr>
                <w:rFonts w:hint="eastAsia" w:ascii="仿宋_GB2312" w:hAnsi="仿宋_GB2312" w:eastAsia="仿宋_GB2312" w:cs="仿宋_GB2312"/>
                <w:sz w:val="24"/>
                <w:szCs w:val="24"/>
                <w:lang w:val="en-US" w:eastAsia="zh-CN"/>
              </w:rPr>
              <w:t>8507807</w:t>
            </w:r>
          </w:p>
        </w:tc>
      </w:tr>
      <w:tr>
        <w:trPr>
          <w:trHeight w:val="1855" w:hRule="atLeast"/>
        </w:trPr>
        <w:tc>
          <w:tcPr>
            <w:tcW w:w="773"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29</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对获得地理标志的，给予一次性奖励10万元，奖励资金由市政府和受益县(区)财政各负报50%。</w:t>
            </w:r>
          </w:p>
        </w:tc>
        <w:tc>
          <w:tcPr>
            <w:tcW w:w="212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获得地理标志的企业和单位</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财政奖励</w:t>
            </w:r>
          </w:p>
        </w:tc>
        <w:tc>
          <w:tcPr>
            <w:tcW w:w="125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市场监管局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《中共</w:t>
            </w:r>
            <w:r>
              <w:rPr>
                <w:rFonts w:hint="eastAsia" w:ascii="仿宋_GB2312" w:hAnsi="仿宋_GB2312" w:eastAsia="仿宋_GB2312" w:cs="仿宋_GB2312"/>
                <w:sz w:val="24"/>
                <w:szCs w:val="24"/>
                <w:lang w:val="en-US" w:eastAsia="zh-CN"/>
              </w:rPr>
              <w:t>台前县委</w:t>
            </w:r>
            <w:r>
              <w:rPr>
                <w:rFonts w:hint="eastAsia" w:ascii="仿宋_GB2312" w:hAnsi="仿宋_GB2312" w:eastAsia="仿宋_GB2312" w:cs="仿宋_GB2312"/>
                <w:sz w:val="24"/>
                <w:szCs w:val="24"/>
              </w:rPr>
              <w:t>办公室</w:t>
            </w:r>
            <w:r>
              <w:rPr>
                <w:rFonts w:hint="eastAsia" w:ascii="仿宋_GB2312" w:hAnsi="仿宋_GB2312" w:eastAsia="仿宋_GB2312" w:cs="仿宋_GB2312"/>
                <w:sz w:val="24"/>
                <w:szCs w:val="24"/>
                <w:lang w:val="en-US" w:eastAsia="zh-CN"/>
              </w:rPr>
              <w:t>台前县</w:t>
            </w:r>
            <w:r>
              <w:rPr>
                <w:rFonts w:hint="eastAsia" w:ascii="仿宋_GB2312" w:hAnsi="仿宋_GB2312" w:eastAsia="仿宋_GB2312" w:cs="仿宋_GB2312"/>
                <w:sz w:val="24"/>
                <w:szCs w:val="24"/>
              </w:rPr>
              <w:t>人民政府办公室印发关于强化知识产权保护与促进工作的实旅意见的通知》(</w:t>
            </w:r>
            <w:r>
              <w:rPr>
                <w:rFonts w:hint="eastAsia" w:ascii="仿宋_GB2312" w:hAnsi="仿宋_GB2312" w:eastAsia="仿宋_GB2312" w:cs="仿宋_GB2312"/>
                <w:sz w:val="24"/>
                <w:szCs w:val="24"/>
                <w:lang w:val="en-US" w:eastAsia="zh-CN"/>
              </w:rPr>
              <w:t>台</w:t>
            </w:r>
            <w:r>
              <w:rPr>
                <w:rFonts w:hint="eastAsia" w:ascii="仿宋_GB2312" w:hAnsi="仿宋_GB2312" w:eastAsia="仿宋_GB2312" w:cs="仿宋_GB2312"/>
                <w:sz w:val="24"/>
                <w:szCs w:val="24"/>
              </w:rPr>
              <w:t>办〔</w:t>
            </w: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号)</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0393-</w:t>
            </w:r>
            <w:r>
              <w:rPr>
                <w:rFonts w:hint="eastAsia" w:ascii="仿宋_GB2312" w:hAnsi="仿宋_GB2312" w:eastAsia="仿宋_GB2312" w:cs="仿宋_GB2312"/>
                <w:sz w:val="24"/>
                <w:szCs w:val="24"/>
                <w:lang w:val="en-US" w:eastAsia="zh-CN"/>
              </w:rPr>
              <w:t>8507807</w:t>
            </w:r>
          </w:p>
        </w:tc>
      </w:tr>
      <w:tr>
        <w:trPr>
          <w:trHeight w:val="1857" w:hRule="atLeast"/>
        </w:trPr>
        <w:tc>
          <w:tcPr>
            <w:tcW w:w="773"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30</w:t>
            </w:r>
          </w:p>
        </w:tc>
        <w:tc>
          <w:tcPr>
            <w:tcW w:w="373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对主持国际标准或国家标准、行业标准、地方标准或团体标准制(修)订的单位分别给予100万元、30万元、8万元奖励;对参与国际标准或国家标准、行业标准制(修)订的单位分别给予50万元、15万元奖励。</w:t>
            </w:r>
            <w:r>
              <w:rPr>
                <w:rFonts w:hint="eastAsia" w:ascii="仿宋_GB2312" w:hAnsi="仿宋_GB2312" w:eastAsia="仿宋_GB2312" w:cs="仿宋_GB2312"/>
                <w:sz w:val="24"/>
                <w:szCs w:val="24"/>
                <w:lang w:val="en-US" w:eastAsia="zh-CN"/>
              </w:rPr>
              <w:t>对新完成国家级、省级、市级标准化示范(试点)项目的单位分别给予15万元、5万元、2万元奖励。</w:t>
            </w:r>
          </w:p>
        </w:tc>
        <w:tc>
          <w:tcPr>
            <w:tcW w:w="2120"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符合条件的单位</w:t>
            </w:r>
          </w:p>
        </w:tc>
        <w:tc>
          <w:tcPr>
            <w:tcW w:w="152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财政奖励</w:t>
            </w:r>
          </w:p>
        </w:tc>
        <w:tc>
          <w:tcPr>
            <w:tcW w:w="125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县市场监管局</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县财政局</w:t>
            </w:r>
          </w:p>
        </w:tc>
        <w:tc>
          <w:tcPr>
            <w:tcW w:w="3113"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《关于加快推进标准化引领工作的实施意见》（濮政</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2022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15号）</w:t>
            </w:r>
          </w:p>
        </w:tc>
        <w:tc>
          <w:tcPr>
            <w:tcW w:w="1657"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0393-8507806</w:t>
            </w:r>
          </w:p>
        </w:tc>
      </w:tr>
    </w:tbl>
    <w:p/>
    <w:sectPr>
      <w:footerReference r:id="rId4" w:type="default"/>
      <w:pgSz w:w="16838" w:h="11906" w:orient="landscape"/>
      <w:pgMar w:top="1800" w:right="1440" w:bottom="1800" w:left="144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paragraph" w:styleId="2">
    <w:name w:val="Body Text First Indent 2"/>
    <w:basedOn w:val="3"/>
    <w:next w:val="3"/>
    <w:qFormat/>
    <w:uiPriority w:val="0"/>
    <w:pPr>
      <w:ind w:left="0" w:leftChars="0" w:firstLine="420" w:firstLineChars="200"/>
    </w:pPr>
  </w:style>
  <w:style w:type="paragraph" w:styleId="3">
    <w:name w:val="Body Text Indent"/>
    <w:basedOn w:val="1"/>
    <w:next w:val="4"/>
    <w:qFormat/>
    <w:uiPriority w:val="0"/>
    <w:pPr>
      <w:spacing w:after="120" w:afterAutospacing="0"/>
      <w:ind w:left="420" w:leftChars="200"/>
    </w:pPr>
  </w:style>
  <w:style w:type="paragraph" w:styleId="4">
    <w:name w:val="index 7"/>
    <w:next w:val="1"/>
    <w:qFormat/>
    <w:uiPriority w:val="99"/>
    <w:pPr>
      <w:widowControl w:val="0"/>
      <w:ind w:left="252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Other|1"/>
    <w:basedOn w:val="1"/>
    <w:qFormat/>
    <w:uiPriority w:val="0"/>
    <w:pPr>
      <w:widowControl w:val="0"/>
      <w:shd w:val="clear" w:color="auto" w:fill="auto"/>
      <w:spacing w:line="310" w:lineRule="exac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3902</Words>
  <Characters>4418</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2023-08-10T02:24:00Z</dcterms:created>
  <dc:creator>曹先军</dc:creator>
  <cp:lastModifiedBy>tqzf001</cp:lastModifiedBy>
  <cp:lastPrinted>2023-08-23T01:09:00Z</cp:lastPrinted>
  <dcterms:modified xsi:type="dcterms:W3CDTF">2023-08-24T01:42:04Z</dcterms:modified>
  <dc:title>附  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2B930DF13ED4413891C9AE2D1FF23346_13</vt:lpwstr>
  </property>
</Properties>
</file>