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文星标宋" w:hAnsi="文星标宋" w:eastAsia="文星标宋"/>
          <w:color w:val="FF1313"/>
          <w:spacing w:val="62"/>
          <w:w w:val="80"/>
          <w:sz w:val="92"/>
          <w:szCs w:val="92"/>
        </w:rPr>
      </w:pPr>
      <w:r>
        <w:rPr>
          <w:rFonts w:hint="eastAsia" w:ascii="文星标宋" w:hAnsi="文星标宋" w:eastAsia="文星标宋"/>
          <w:color w:val="FF1313"/>
          <w:spacing w:val="62"/>
          <w:w w:val="80"/>
          <w:sz w:val="92"/>
          <w:szCs w:val="92"/>
        </w:rPr>
        <w:t>台 前 县 统 计 局</w:t>
      </w:r>
    </w:p>
    <w:p>
      <w:pPr>
        <w:pStyle w:val="2"/>
        <w:spacing w:line="200" w:lineRule="exact"/>
        <w:jc w:val="right"/>
        <w:rPr>
          <w:rFonts w:ascii="仿宋" w:hAnsi="仿宋" w:eastAsia="仿宋" w:cs="仿宋"/>
          <w:color w:val="000000"/>
          <w:spacing w:val="20"/>
          <w:sz w:val="30"/>
          <w:szCs w:val="30"/>
        </w:rPr>
      </w:pPr>
      <w:r>
        <w:rPr>
          <w:rFonts w:ascii="仿宋" w:hAnsi="仿宋" w:eastAsia="仿宋" w:cs="仿宋"/>
          <w:color w:val="000000"/>
          <w:spacing w:val="6"/>
          <w:sz w:val="30"/>
          <w:szCs w:val="30"/>
        </w:rPr>
        <w:pict>
          <v:line id="直接连接符 1" o:spid="_x0000_s1026" o:spt="20" style="position:absolute;left:0pt;flip:y;margin-left:-9.9pt;margin-top:1.65pt;height:0.05pt;width:448.4pt;z-index:-251656192;mso-width-relative:page;mso-height-relative:page;" stroked="t" coordsize="21600,21600">
            <v:path arrowok="t"/>
            <v:fill focussize="0,0"/>
            <v:stroke weight="4.5pt" color="#FF0000" linestyle="thickThin"/>
            <v:imagedata o:title=""/>
            <o:lock v:ext="edit"/>
          </v:line>
        </w:pict>
      </w:r>
      <w:r>
        <w:rPr>
          <w:rFonts w:ascii="Times New Roman" w:hAnsi="Times New Roman"/>
          <w:color w:val="000000"/>
          <w:spacing w:val="6"/>
        </w:rPr>
        <w:pict>
          <v:line id="直接连接符 2" o:spid="_x0000_s1027" o:spt="20" style="position:absolute;left:0pt;margin-top:0.55pt;height:0pt;width:437.65pt;mso-position-horizontal:center;mso-wrap-distance-bottom:0pt;mso-wrap-distance-top:0pt;z-index:251661312;mso-width-relative:page;mso-height-relative:page;" stroked="f" coordsize="21600,21600" o:gfxdata="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CSPvY41AAAAAQBAAAPAAAAAAAAAAEAIAAAACIAAABkcnMvZG93bnJldi54bWxQSwECFAAUAAAA&#10;CACHTuJAPEcPGIABAADhAgAADgAAAAAAAAABACAAAAAjAQAAZHJzL2Uyb0RvYy54bWxQSwUGAAAA&#10;AAYABgBZAQAAFQUAAAAA&#10;">
            <v:path arrowok="t"/>
            <v:fill focussize="0,0"/>
            <v:stroke on="f"/>
            <v:imagedata o:title=""/>
            <o:lock v:ext="edit"/>
            <w10:wrap type="topAndBottom"/>
          </v:line>
        </w:pict>
      </w:r>
    </w:p>
    <w:p>
      <w:pPr>
        <w:pStyle w:val="5"/>
        <w:shd w:val="clear" w:color="auto" w:fill="FFFFFF"/>
        <w:spacing w:before="0" w:beforeAutospacing="0" w:after="0" w:afterAutospacing="0" w:line="560" w:lineRule="exact"/>
        <w:jc w:val="center"/>
        <w:rPr>
          <w:rFonts w:ascii="方正小标宋简体" w:hAnsi="Calibri" w:eastAsia="方正小标宋简体"/>
          <w:color w:val="333333"/>
          <w:sz w:val="44"/>
          <w:szCs w:val="44"/>
        </w:rPr>
      </w:pPr>
      <w:r>
        <w:rPr>
          <w:rFonts w:hint="eastAsia" w:ascii="方正小标宋简体" w:eastAsia="方正小标宋简体"/>
          <w:color w:val="333333"/>
          <w:sz w:val="44"/>
          <w:szCs w:val="44"/>
        </w:rPr>
        <w:t>台前县统计局2023年度</w:t>
      </w:r>
    </w:p>
    <w:p>
      <w:pPr>
        <w:pStyle w:val="5"/>
        <w:shd w:val="clear" w:color="auto" w:fill="FFFFFF"/>
        <w:spacing w:before="0" w:beforeAutospacing="0" w:after="0" w:afterAutospacing="0" w:line="560" w:lineRule="exact"/>
        <w:jc w:val="center"/>
        <w:rPr>
          <w:rFonts w:ascii="方正小标宋简体" w:hAnsi="Calibri" w:eastAsia="方正小标宋简体"/>
          <w:color w:val="333333"/>
          <w:sz w:val="44"/>
          <w:szCs w:val="44"/>
        </w:rPr>
      </w:pPr>
      <w:r>
        <w:rPr>
          <w:rFonts w:hint="eastAsia" w:ascii="方正小标宋简体" w:eastAsia="方正小标宋简体"/>
          <w:color w:val="333333"/>
          <w:sz w:val="44"/>
          <w:szCs w:val="44"/>
        </w:rPr>
        <w:t>“双随机、一公开”抽查工作计划</w:t>
      </w:r>
    </w:p>
    <w:p>
      <w:pPr>
        <w:pStyle w:val="5"/>
        <w:shd w:val="clear" w:color="auto" w:fill="FFFFFF"/>
        <w:spacing w:before="0" w:beforeAutospacing="0" w:after="0" w:afterAutospacing="0" w:line="560" w:lineRule="exact"/>
        <w:ind w:firstLine="369"/>
        <w:jc w:val="both"/>
        <w:rPr>
          <w:rFonts w:ascii="仿宋_GB2312" w:hAnsi="Calibri" w:eastAsia="仿宋_GB2312"/>
          <w:color w:val="333333"/>
          <w:sz w:val="32"/>
          <w:szCs w:val="32"/>
        </w:rPr>
      </w:pPr>
      <w:r>
        <w:rPr>
          <w:rFonts w:hint="eastAsia" w:eastAsia="仿宋_GB2312"/>
          <w:color w:val="333333"/>
          <w:sz w:val="32"/>
          <w:szCs w:val="32"/>
          <w:shd w:val="clear" w:color="auto" w:fill="FFFFFF"/>
        </w:rPr>
        <w:t> </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shd w:val="clear" w:color="auto" w:fill="FFFFFF"/>
        </w:rPr>
        <w:t>为贯彻落实国家、省、市统计工作部署，全面推行“双随机一公开”监管工作机制，推进简政放权、放管结合、优化营商环境，进一步创新统计管理方式、规范统计</w:t>
      </w:r>
      <w:bookmarkStart w:id="1" w:name="_GoBack"/>
      <w:bookmarkEnd w:id="1"/>
      <w:r>
        <w:rPr>
          <w:rFonts w:hint="eastAsia" w:ascii="仿宋_GB2312" w:eastAsia="仿宋_GB2312"/>
          <w:color w:val="333333"/>
          <w:sz w:val="32"/>
          <w:szCs w:val="32"/>
          <w:shd w:val="clear" w:color="auto" w:fill="FFFFFF"/>
        </w:rPr>
        <w:t>检查行为，台前县统计局结合统计工作实际，制定了《2023度 “双随机一公开”抽查工作计划》。</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一、抽查范围及数量</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随机抽查全县范围内所有规模以上工业、限额以上批发、零售业和住宿餐饮业、规模以上服务业法人单位。</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开展随机抽查时,对社会关注度高、投诉举报多、列入经营异常名录和严重违法失信企业名单或有其他严重违法记录的高风险监管对象不低于15%、中风险监管对象不低于10%，低风险监管对象不低于5%的比例进行随机抽查。</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二、检查对象及执法人员抽取方法</w:t>
      </w:r>
    </w:p>
    <w:p>
      <w:pPr>
        <w:pStyle w:val="5"/>
        <w:shd w:val="clear" w:color="auto" w:fill="FFFFFF"/>
        <w:spacing w:before="0" w:beforeAutospacing="0" w:after="0" w:afterAutospacing="0" w:line="560" w:lineRule="exact"/>
        <w:ind w:firstLine="640" w:firstLineChars="200"/>
        <w:rPr>
          <w:rFonts w:ascii="仿宋_GB2312" w:hAnsi="Calibri" w:eastAsia="仿宋_GB2312"/>
          <w:color w:val="333333"/>
          <w:sz w:val="32"/>
          <w:szCs w:val="32"/>
        </w:rPr>
      </w:pPr>
      <w:r>
        <w:rPr>
          <w:rFonts w:hint="eastAsia" w:ascii="仿宋_GB2312" w:eastAsia="仿宋_GB2312"/>
          <w:color w:val="333333"/>
          <w:sz w:val="32"/>
          <w:szCs w:val="32"/>
        </w:rPr>
        <w:t>通过国家企业信用信息公示系统平台，运用电子化手段从统计检查对象名录库中随机抽取检查对象，从执法检查人员名录库中随机选派执法人员。被抽取的执法检查人员与被抽取的检查对象有利害关系的，应当回避，并重新抽取执法检查人员。每次执法检查抽取的检查人员不得少于2人。</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三、抽查时间及组织方式</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本部门拟10月31日前开展“双随机、一公开”统计执法检查。通过随机抽取的统计执法人员进行“双随机、一公开”执法检查，按统计执法工作任务情况对随机抽中的检查对象开展检查工作。</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四、抽查事项</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抽查统计调查对象依法设置原始记录、统计台账情况。随机抽查事项为工业总产值、营业收入、营业利润、能源消费、投资、劳动人员与劳动人员工资、项目投资、研究开发人员和研究开发费用等。</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五、公开抽查情况</w:t>
      </w:r>
    </w:p>
    <w:p>
      <w:pPr>
        <w:pStyle w:val="5"/>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在抽查检查结果产生之日起20个工作日内，通过国家企业信用信息公示系统（河南）及时向社会公示。</w:t>
      </w:r>
    </w:p>
    <w:p>
      <w:pPr>
        <w:pStyle w:val="5"/>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p>
    <w:p>
      <w:pPr>
        <w:pStyle w:val="5"/>
        <w:shd w:val="clear" w:color="auto" w:fill="FFFFFF"/>
        <w:spacing w:before="0" w:beforeAutospacing="0" w:after="0" w:afterAutospacing="0" w:line="560" w:lineRule="exact"/>
        <w:ind w:firstLine="640" w:firstLineChars="200"/>
        <w:jc w:val="both"/>
        <w:rPr>
          <w:rFonts w:ascii="仿宋" w:hAnsi="仿宋" w:eastAsia="仿宋" w:cs="仿宋"/>
          <w:kern w:val="2"/>
          <w:sz w:val="32"/>
          <w:szCs w:val="32"/>
        </w:rPr>
      </w:pPr>
    </w:p>
    <w:p>
      <w:pPr>
        <w:pStyle w:val="5"/>
        <w:shd w:val="clear" w:color="auto" w:fill="FFFFFF"/>
        <w:spacing w:before="0" w:beforeAutospacing="0" w:after="0" w:afterAutospacing="0" w:line="560" w:lineRule="exact"/>
        <w:ind w:firstLine="640" w:firstLineChars="200"/>
        <w:jc w:val="both"/>
        <w:rPr>
          <w:rFonts w:ascii="仿宋" w:hAnsi="仿宋" w:eastAsia="仿宋" w:cs="仿宋"/>
          <w:kern w:val="2"/>
          <w:sz w:val="32"/>
          <w:szCs w:val="32"/>
        </w:rPr>
      </w:pPr>
    </w:p>
    <w:p>
      <w:pPr>
        <w:pStyle w:val="5"/>
        <w:shd w:val="clear" w:color="auto" w:fill="FFFFFF"/>
        <w:wordWrap w:val="0"/>
        <w:spacing w:before="0" w:beforeAutospacing="0" w:after="0" w:afterAutospacing="0" w:line="560" w:lineRule="exact"/>
        <w:ind w:firstLine="640" w:firstLineChars="200"/>
        <w:jc w:val="right"/>
        <w:rPr>
          <w:rFonts w:ascii="仿宋" w:hAnsi="仿宋" w:eastAsia="仿宋" w:cs="仿宋"/>
          <w:kern w:val="2"/>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kern w:val="2"/>
          <w:sz w:val="32"/>
          <w:szCs w:val="32"/>
        </w:rPr>
        <w:t xml:space="preserve">2023年2月23日    </w:t>
      </w:r>
    </w:p>
    <w:p>
      <w:pPr>
        <w:spacing w:line="540" w:lineRule="exact"/>
        <w:rPr>
          <w:rFonts w:ascii="宋体" w:hAnsi="宋体" w:eastAsia="仿宋_GB2312"/>
          <w:b/>
          <w:color w:val="000000"/>
          <w:sz w:val="32"/>
          <w:szCs w:val="32"/>
        </w:rPr>
      </w:pPr>
      <w:bookmarkStart w:id="0" w:name="Content"/>
      <w:r>
        <w:rPr>
          <w:rFonts w:hint="eastAsia" w:ascii="宋体" w:hAnsi="宋体" w:eastAsia="仿宋_GB2312"/>
          <w:b/>
          <w:color w:val="000000"/>
          <w:sz w:val="32"/>
          <w:szCs w:val="32"/>
        </w:rPr>
        <w:t>附件：</w:t>
      </w:r>
    </w:p>
    <w:bookmarkEnd w:id="0"/>
    <w:p>
      <w:pPr>
        <w:spacing w:beforeLines="50" w:afterLines="50" w:line="560" w:lineRule="exact"/>
        <w:jc w:val="center"/>
        <w:rPr>
          <w:rFonts w:ascii="方正小标宋简体" w:hAnsi="方正小标宋简体" w:eastAsia="方正小标宋简体" w:cs="方正小标宋简体"/>
          <w:sz w:val="44"/>
          <w:szCs w:val="44"/>
        </w:rPr>
      </w:pPr>
      <w:r>
        <w:rPr>
          <w:rFonts w:hint="eastAsia" w:ascii="宋体" w:hAnsi="宋体" w:eastAsia="宋体" w:cs="宋体"/>
          <w:b/>
          <w:bCs/>
          <w:sz w:val="32"/>
          <w:szCs w:val="32"/>
        </w:rPr>
        <w:t>2022年台前县统计局“双随机、一公开”抽查计划表</w:t>
      </w:r>
    </w:p>
    <w:tbl>
      <w:tblPr>
        <w:tblStyle w:val="6"/>
        <w:tblW w:w="140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0"/>
        <w:gridCol w:w="856"/>
        <w:gridCol w:w="2641"/>
        <w:gridCol w:w="930"/>
        <w:gridCol w:w="1950"/>
        <w:gridCol w:w="915"/>
        <w:gridCol w:w="2235"/>
        <w:gridCol w:w="675"/>
        <w:gridCol w:w="840"/>
        <w:gridCol w:w="750"/>
        <w:gridCol w:w="990"/>
        <w:gridCol w:w="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14067" w:type="dxa"/>
            <w:gridSpan w:val="12"/>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b/>
                <w:bCs/>
                <w:color w:val="000000"/>
                <w:kern w:val="0"/>
                <w:szCs w:val="21"/>
              </w:rPr>
              <w:t>制定计划的事项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jc w:val="center"/>
        </w:trPr>
        <w:tc>
          <w:tcPr>
            <w:tcW w:w="41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序号 </w:t>
            </w:r>
          </w:p>
        </w:tc>
        <w:tc>
          <w:tcPr>
            <w:tcW w:w="4427" w:type="dxa"/>
            <w:gridSpan w:val="3"/>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清单中的抽查项目</w:t>
            </w:r>
          </w:p>
        </w:tc>
        <w:tc>
          <w:tcPr>
            <w:tcW w:w="195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抽查任务名称</w:t>
            </w:r>
          </w:p>
        </w:tc>
        <w:tc>
          <w:tcPr>
            <w:tcW w:w="91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抽查方式</w:t>
            </w:r>
          </w:p>
        </w:tc>
        <w:tc>
          <w:tcPr>
            <w:tcW w:w="223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检查对象</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检查方式</w:t>
            </w:r>
          </w:p>
        </w:tc>
        <w:tc>
          <w:tcPr>
            <w:tcW w:w="84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w:t>
            </w:r>
            <w:r>
              <w:rPr>
                <w:rFonts w:hint="eastAsia" w:ascii="宋体" w:hAnsi="宋体" w:cs="宋体"/>
                <w:b/>
                <w:color w:val="000000"/>
                <w:kern w:val="0"/>
                <w:szCs w:val="21"/>
              </w:rPr>
              <w:t>频次</w:t>
            </w:r>
          </w:p>
        </w:tc>
        <w:tc>
          <w:tcPr>
            <w:tcW w:w="75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   时间</w:t>
            </w:r>
          </w:p>
        </w:tc>
        <w:tc>
          <w:tcPr>
            <w:tcW w:w="99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不同风险程度的抽查比重</w:t>
            </w:r>
          </w:p>
        </w:tc>
        <w:tc>
          <w:tcPr>
            <w:tcW w:w="8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本</w:t>
            </w:r>
            <w:r>
              <w:rPr>
                <w:rFonts w:hint="eastAsia" w:ascii="宋体" w:hAnsi="宋体" w:cs="宋体"/>
                <w:b/>
                <w:color w:val="000000"/>
                <w:kern w:val="0"/>
                <w:szCs w:val="21"/>
              </w:rPr>
              <w:t>单位</w:t>
            </w:r>
            <w:r>
              <w:rPr>
                <w:rFonts w:hint="eastAsia" w:ascii="宋体" w:hAnsi="宋体" w:eastAsia="宋体" w:cs="宋体"/>
                <w:b/>
                <w:color w:val="000000"/>
                <w:kern w:val="0"/>
                <w:szCs w:val="21"/>
              </w:rPr>
              <w:t>牵头</w:t>
            </w:r>
            <w:r>
              <w:rPr>
                <w:rFonts w:hint="eastAsia" w:ascii="宋体" w:hAnsi="宋体" w:cs="宋体"/>
                <w:b/>
                <w:color w:val="000000"/>
                <w:kern w:val="0"/>
                <w:szCs w:val="21"/>
              </w:rPr>
              <w:t>股</w:t>
            </w:r>
            <w:r>
              <w:rPr>
                <w:rFonts w:hint="eastAsia" w:ascii="宋体" w:hAnsi="宋体" w:eastAsia="宋体" w:cs="宋体"/>
                <w:b/>
                <w:color w:val="000000"/>
                <w:kern w:val="0"/>
                <w:szCs w:val="21"/>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jc w:val="center"/>
        </w:trPr>
        <w:tc>
          <w:tcPr>
            <w:tcW w:w="41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856"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抽查</w:t>
            </w:r>
          </w:p>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类别</w:t>
            </w:r>
          </w:p>
        </w:tc>
        <w:tc>
          <w:tcPr>
            <w:tcW w:w="2641"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抽查事项</w:t>
            </w:r>
          </w:p>
        </w:tc>
        <w:tc>
          <w:tcPr>
            <w:tcW w:w="93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事项</w:t>
            </w:r>
          </w:p>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类别</w:t>
            </w:r>
          </w:p>
        </w:tc>
        <w:tc>
          <w:tcPr>
            <w:tcW w:w="195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91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223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67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84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75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99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87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jc w:val="center"/>
        </w:trPr>
        <w:tc>
          <w:tcPr>
            <w:tcW w:w="41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856"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r>
              <w:rPr>
                <w:rFonts w:hint="eastAsia" w:ascii="宋体" w:hAnsi="宋体" w:cs="宋体"/>
                <w:color w:val="000000"/>
                <w:szCs w:val="21"/>
              </w:rPr>
              <w:t>原始记录与统计台账</w:t>
            </w:r>
          </w:p>
        </w:tc>
        <w:tc>
          <w:tcPr>
            <w:tcW w:w="2641"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原始记录与统计台账</w:t>
            </w:r>
          </w:p>
        </w:tc>
        <w:tc>
          <w:tcPr>
            <w:tcW w:w="93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一般检查事项</w:t>
            </w:r>
          </w:p>
        </w:tc>
        <w:tc>
          <w:tcPr>
            <w:tcW w:w="195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对统计调查对象的原始记录和统计台账设置情况进行抽查</w:t>
            </w:r>
          </w:p>
        </w:tc>
        <w:tc>
          <w:tcPr>
            <w:tcW w:w="91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r>
              <w:rPr>
                <w:rFonts w:hint="eastAsia" w:ascii="宋体" w:hAnsi="宋体" w:cs="宋体"/>
                <w:color w:val="000000"/>
                <w:szCs w:val="21"/>
              </w:rPr>
              <w:t>不定向</w:t>
            </w:r>
          </w:p>
        </w:tc>
        <w:tc>
          <w:tcPr>
            <w:tcW w:w="223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统计调查对象</w:t>
            </w:r>
          </w:p>
        </w:tc>
        <w:tc>
          <w:tcPr>
            <w:tcW w:w="67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现场检查</w:t>
            </w:r>
          </w:p>
        </w:tc>
        <w:tc>
          <w:tcPr>
            <w:tcW w:w="84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不低于5%</w:t>
            </w:r>
          </w:p>
        </w:tc>
        <w:tc>
          <w:tcPr>
            <w:tcW w:w="75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月31日前</w:t>
            </w:r>
          </w:p>
        </w:tc>
        <w:tc>
          <w:tcPr>
            <w:tcW w:w="99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szCs w:val="21"/>
              </w:rPr>
              <w:t>低风险不低于5%；</w:t>
            </w:r>
          </w:p>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szCs w:val="21"/>
              </w:rPr>
              <w:t>中风险不低于10%；</w:t>
            </w:r>
          </w:p>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szCs w:val="21"/>
              </w:rPr>
              <w:t>高风险不低于15%。</w:t>
            </w:r>
          </w:p>
        </w:tc>
        <w:tc>
          <w:tcPr>
            <w:tcW w:w="87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执法监督股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jc w:val="center"/>
        </w:trPr>
        <w:tc>
          <w:tcPr>
            <w:tcW w:w="41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856"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2641"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3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19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1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223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67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84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7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9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87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41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856"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2641"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3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19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1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223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67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84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7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9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87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r>
    </w:tbl>
    <w:p>
      <w:pPr>
        <w:ind w:firstLine="480" w:firstLineChars="200"/>
        <w:rPr>
          <w:rFonts w:ascii="黑体" w:hAnsi="黑体" w:eastAsia="黑体" w:cs="黑体"/>
          <w:sz w:val="24"/>
          <w:szCs w:val="24"/>
        </w:rPr>
      </w:pPr>
      <w:r>
        <w:rPr>
          <w:rFonts w:hint="eastAsia" w:ascii="黑体" w:hAnsi="黑体" w:eastAsia="黑体" w:cs="黑体"/>
          <w:sz w:val="24"/>
          <w:szCs w:val="24"/>
        </w:rPr>
        <w:t>注：1、抽查类别是指本单位监管事项中的抽查分类；2、事项类别：一般检查事项和重点检查事项；3、抽查方式：定向或不定向；4、检查方式：现场检查、书面检查、网络检查、专业机构核查、抽样检测、实地检查等风险程度；5、抽查频次：是指对每一分类结果建库后的抽查次数。</w:t>
      </w:r>
    </w:p>
    <w:p>
      <w:pPr>
        <w:ind w:firstLine="480" w:firstLineChars="200"/>
        <w:rPr>
          <w:rFonts w:ascii="仿宋_GB2312" w:eastAsia="仿宋_GB2312"/>
          <w:sz w:val="24"/>
          <w:szCs w:val="24"/>
        </w:rPr>
      </w:pP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文星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2E8A"/>
    <w:rsid w:val="00240B4B"/>
    <w:rsid w:val="00260530"/>
    <w:rsid w:val="00297C65"/>
    <w:rsid w:val="002B39C3"/>
    <w:rsid w:val="0038456D"/>
    <w:rsid w:val="00401109"/>
    <w:rsid w:val="00481795"/>
    <w:rsid w:val="004841A7"/>
    <w:rsid w:val="00537701"/>
    <w:rsid w:val="00573020"/>
    <w:rsid w:val="005B6688"/>
    <w:rsid w:val="006415D4"/>
    <w:rsid w:val="00784DA7"/>
    <w:rsid w:val="007B5719"/>
    <w:rsid w:val="007D483A"/>
    <w:rsid w:val="008021A2"/>
    <w:rsid w:val="008E3011"/>
    <w:rsid w:val="008F0865"/>
    <w:rsid w:val="00937E83"/>
    <w:rsid w:val="00957B8C"/>
    <w:rsid w:val="00980814"/>
    <w:rsid w:val="00A600A5"/>
    <w:rsid w:val="00B76343"/>
    <w:rsid w:val="00BB5E6A"/>
    <w:rsid w:val="00BF6E28"/>
    <w:rsid w:val="00C93088"/>
    <w:rsid w:val="00D31619"/>
    <w:rsid w:val="00DB302C"/>
    <w:rsid w:val="00E511A9"/>
    <w:rsid w:val="00EF2E8A"/>
    <w:rsid w:val="00F84FBA"/>
    <w:rsid w:val="00FE62CC"/>
    <w:rsid w:val="7081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宋体"/>
      <w:szCs w:val="21"/>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纯文本 Char"/>
    <w:basedOn w:val="7"/>
    <w:link w:val="2"/>
    <w:uiPriority w:val="0"/>
    <w:rPr>
      <w:rFonts w:ascii="宋体" w:hAnsi="Courier New" w:eastAsia="宋体"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3</Pages>
  <Words>172</Words>
  <Characters>984</Characters>
  <Lines>8</Lines>
  <Paragraphs>2</Paragraphs>
  <TotalTime>304</TotalTime>
  <ScaleCrop>false</ScaleCrop>
  <LinksUpToDate>false</LinksUpToDate>
  <CharactersWithSpaces>1154</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2022-09-15T00:38:00Z</dcterms:created>
  <dc:creator>微软中国</dc:creator>
  <cp:lastModifiedBy>TJJ_JYH</cp:lastModifiedBy>
  <cp:lastPrinted>2023-10-21T07:44:14Z</cp:lastPrinted>
  <dcterms:modified xsi:type="dcterms:W3CDTF">2023-10-21T07:45:36Z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